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7C54E102" w:rsidR="00CB39DD" w:rsidRPr="00A35457" w:rsidRDefault="009E08EC" w:rsidP="00CB39DD">
      <w:pPr>
        <w:spacing w:after="240"/>
        <w:jc w:val="center"/>
        <w:rPr>
          <w:rStyle w:val="Strong"/>
          <w:rFonts w:ascii="Times New Roman" w:hAnsi="Times New Roman"/>
          <w:szCs w:val="24"/>
        </w:rPr>
      </w:pPr>
      <w:r w:rsidRPr="009E08EC">
        <w:rPr>
          <w:rFonts w:ascii="Times New Roman" w:hAnsi="Times New Roman"/>
          <w:b/>
        </w:rPr>
        <w:t>Supply of laboratory equipment for the project ABIDERS</w:t>
      </w:r>
      <w:r w:rsidR="00E30FFA" w:rsidRPr="00A35457">
        <w:rPr>
          <w:rStyle w:val="Strong"/>
          <w:rFonts w:ascii="Times New Roman" w:hAnsi="Times New Roman"/>
          <w:szCs w:val="24"/>
        </w:rPr>
        <w:t xml:space="preserve"> </w:t>
      </w:r>
    </w:p>
    <w:p w14:paraId="37234FCC" w14:textId="55C84E28" w:rsidR="00CB39DD" w:rsidRPr="00A35457" w:rsidRDefault="00CB39DD" w:rsidP="00CB39DD">
      <w:pPr>
        <w:spacing w:after="240"/>
        <w:jc w:val="center"/>
        <w:rPr>
          <w:rStyle w:val="Strong"/>
          <w:rFonts w:ascii="Times New Roman" w:hAnsi="Times New Roman"/>
          <w:szCs w:val="24"/>
        </w:rPr>
      </w:pPr>
      <w:r w:rsidRPr="00A35457">
        <w:rPr>
          <w:rStyle w:val="Strong"/>
          <w:rFonts w:ascii="Times New Roman" w:hAnsi="Times New Roman"/>
          <w:szCs w:val="24"/>
        </w:rPr>
        <w:t>Ref. number</w:t>
      </w:r>
      <w:r w:rsidR="00A35457" w:rsidRPr="00A35457">
        <w:rPr>
          <w:rStyle w:val="Strong"/>
          <w:rFonts w:ascii="Times New Roman" w:hAnsi="Times New Roman"/>
          <w:szCs w:val="24"/>
        </w:rPr>
        <w:t xml:space="preserve">: </w:t>
      </w:r>
      <w:r w:rsidR="009E08EC" w:rsidRPr="009E08EC">
        <w:rPr>
          <w:rFonts w:ascii="Times New Roman" w:hAnsi="Times New Roman"/>
          <w:b/>
        </w:rPr>
        <w:t>HRRS00148-5/laboratory equipment</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6307BB7B"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A35457">
        <w:rPr>
          <w:rFonts w:ascii="Times New Roman" w:hAnsi="Times New Roman"/>
          <w:sz w:val="22"/>
          <w:lang w:val="en-GB"/>
        </w:rPr>
        <w:t xml:space="preserve"> </w:t>
      </w:r>
      <w:r w:rsidR="00A35457" w:rsidRPr="00A35457">
        <w:rPr>
          <w:rFonts w:ascii="Times New Roman" w:hAnsi="Times New Roman"/>
          <w:sz w:val="22"/>
          <w:lang w:val="en-GB"/>
        </w:rPr>
        <w:t>and</w:t>
      </w:r>
      <w:r w:rsidRPr="00A35457">
        <w:rPr>
          <w:rFonts w:ascii="Times New Roman" w:hAnsi="Times New Roman"/>
          <w:sz w:val="22"/>
          <w:lang w:val="en-GB"/>
        </w:rPr>
        <w:t xml:space="preserve"> delivery by</w:t>
      </w:r>
      <w:r w:rsidRPr="00E82463">
        <w:rPr>
          <w:rFonts w:ascii="Times New Roman" w:hAnsi="Times New Roman"/>
          <w:sz w:val="22"/>
          <w:lang w:val="en-GB"/>
        </w:rPr>
        <w:t xml:space="preserve"> the Contractor of the following goods:</w:t>
      </w:r>
    </w:p>
    <w:p w14:paraId="36F7182C" w14:textId="77777777" w:rsidR="009E08EC" w:rsidRPr="001120EC" w:rsidRDefault="009E08EC" w:rsidP="009E08EC">
      <w:pPr>
        <w:pStyle w:val="ListParagraph"/>
        <w:tabs>
          <w:tab w:val="left" w:pos="709"/>
          <w:tab w:val="left" w:pos="993"/>
        </w:tabs>
        <w:ind w:left="705"/>
        <w:jc w:val="both"/>
        <w:rPr>
          <w:rFonts w:ascii="Times New Roman" w:hAnsi="Times New Roman"/>
          <w:b/>
        </w:rPr>
      </w:pPr>
      <w:r w:rsidRPr="007A7A46">
        <w:rPr>
          <w:rFonts w:ascii="Times New Roman" w:hAnsi="Times New Roman"/>
          <w:b/>
        </w:rPr>
        <w:t>Lot no. 1 – FTIR spectrometer</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E08EC" w14:paraId="5A349289" w14:textId="77777777" w:rsidTr="00666671">
        <w:tc>
          <w:tcPr>
            <w:tcW w:w="656" w:type="dxa"/>
            <w:shd w:val="clear" w:color="auto" w:fill="auto"/>
            <w:vAlign w:val="center"/>
          </w:tcPr>
          <w:p w14:paraId="40671E83" w14:textId="77777777" w:rsidR="009E08EC" w:rsidRPr="008364A8" w:rsidRDefault="009E08EC" w:rsidP="00666671">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4F0A5FDB"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Product specification</w:t>
            </w:r>
          </w:p>
        </w:tc>
        <w:tc>
          <w:tcPr>
            <w:tcW w:w="1079" w:type="dxa"/>
            <w:shd w:val="clear" w:color="auto" w:fill="auto"/>
            <w:vAlign w:val="center"/>
          </w:tcPr>
          <w:p w14:paraId="5C0C2D59"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Quantity</w:t>
            </w:r>
          </w:p>
        </w:tc>
      </w:tr>
      <w:tr w:rsidR="009E08EC" w14:paraId="007228D3" w14:textId="77777777" w:rsidTr="00666671">
        <w:trPr>
          <w:trHeight w:val="746"/>
        </w:trPr>
        <w:tc>
          <w:tcPr>
            <w:tcW w:w="656" w:type="dxa"/>
            <w:shd w:val="clear" w:color="auto" w:fill="auto"/>
            <w:vAlign w:val="center"/>
          </w:tcPr>
          <w:p w14:paraId="2DE67E7E" w14:textId="77777777" w:rsidR="009E08EC" w:rsidRPr="004968D7" w:rsidRDefault="009E08EC" w:rsidP="00666671">
            <w:pPr>
              <w:jc w:val="center"/>
              <w:rPr>
                <w:rFonts w:ascii="Times New Roman" w:hAnsi="Times New Roman"/>
                <w:sz w:val="22"/>
              </w:rPr>
            </w:pPr>
            <w:r w:rsidRPr="004968D7">
              <w:rPr>
                <w:rFonts w:ascii="Times New Roman" w:hAnsi="Times New Roman"/>
                <w:sz w:val="22"/>
              </w:rPr>
              <w:t>1</w:t>
            </w:r>
          </w:p>
        </w:tc>
        <w:tc>
          <w:tcPr>
            <w:tcW w:w="6635" w:type="dxa"/>
            <w:shd w:val="clear" w:color="auto" w:fill="auto"/>
            <w:vAlign w:val="center"/>
          </w:tcPr>
          <w:p w14:paraId="7E8F70C0" w14:textId="38FFDDC3" w:rsidR="009E08EC" w:rsidRPr="00A5368C" w:rsidRDefault="00A5368C" w:rsidP="00666671">
            <w:pPr>
              <w:spacing w:before="0" w:after="0"/>
              <w:rPr>
                <w:rFonts w:ascii="Times New Roman" w:hAnsi="Times New Roman"/>
                <w:sz w:val="22"/>
                <w:szCs w:val="22"/>
              </w:rPr>
            </w:pPr>
            <w:r w:rsidRPr="00A5368C">
              <w:rPr>
                <w:rFonts w:ascii="Times New Roman" w:hAnsi="Times New Roman"/>
                <w:b/>
                <w:sz w:val="22"/>
                <w:szCs w:val="22"/>
              </w:rPr>
              <w:t>FTIR spectrometer</w:t>
            </w:r>
          </w:p>
        </w:tc>
        <w:tc>
          <w:tcPr>
            <w:tcW w:w="1079" w:type="dxa"/>
            <w:shd w:val="clear" w:color="auto" w:fill="auto"/>
            <w:vAlign w:val="center"/>
          </w:tcPr>
          <w:p w14:paraId="5FE572CE" w14:textId="4AEB4221" w:rsidR="009E08EC" w:rsidRPr="00A5368C" w:rsidRDefault="00A5368C" w:rsidP="00666671">
            <w:pPr>
              <w:jc w:val="center"/>
              <w:rPr>
                <w:rFonts w:ascii="Times New Roman" w:hAnsi="Times New Roman"/>
                <w:b/>
                <w:sz w:val="22"/>
              </w:rPr>
            </w:pPr>
            <w:r w:rsidRPr="00A5368C">
              <w:rPr>
                <w:rFonts w:ascii="Times New Roman" w:hAnsi="Times New Roman"/>
                <w:b/>
                <w:sz w:val="22"/>
              </w:rPr>
              <w:t>1 pc</w:t>
            </w:r>
          </w:p>
        </w:tc>
      </w:tr>
    </w:tbl>
    <w:p w14:paraId="6D2BE0C5" w14:textId="77777777" w:rsidR="007A626C" w:rsidRDefault="007A626C" w:rsidP="007A626C">
      <w:pPr>
        <w:pStyle w:val="ListParagraph"/>
        <w:tabs>
          <w:tab w:val="left" w:pos="709"/>
          <w:tab w:val="left" w:pos="993"/>
        </w:tabs>
        <w:ind w:left="705"/>
        <w:jc w:val="both"/>
        <w:rPr>
          <w:rFonts w:ascii="Times New Roman" w:hAnsi="Times New Roman"/>
          <w:b/>
        </w:rPr>
      </w:pPr>
    </w:p>
    <w:p w14:paraId="3ADD2B4C" w14:textId="41AB8C23" w:rsidR="009E08EC" w:rsidRPr="007A626C" w:rsidRDefault="009E08EC" w:rsidP="007A626C">
      <w:pPr>
        <w:pStyle w:val="ListParagraph"/>
        <w:tabs>
          <w:tab w:val="left" w:pos="709"/>
          <w:tab w:val="left" w:pos="993"/>
        </w:tabs>
        <w:ind w:left="705"/>
        <w:jc w:val="both"/>
        <w:rPr>
          <w:rFonts w:ascii="Times New Roman" w:hAnsi="Times New Roman"/>
          <w:b/>
        </w:rPr>
      </w:pPr>
      <w:r w:rsidRPr="007A7A46">
        <w:rPr>
          <w:rFonts w:ascii="Times New Roman" w:hAnsi="Times New Roman"/>
          <w:b/>
        </w:rPr>
        <w:t>Lot no. 2 –</w:t>
      </w:r>
      <w:r w:rsidR="007A626C">
        <w:rPr>
          <w:rFonts w:ascii="Times New Roman" w:hAnsi="Times New Roman"/>
          <w:b/>
        </w:rPr>
        <w:t xml:space="preserve"> </w:t>
      </w:r>
      <w:r w:rsidRPr="007A626C">
        <w:rPr>
          <w:rFonts w:ascii="Times New Roman" w:hAnsi="Times New Roman"/>
          <w:b/>
        </w:rPr>
        <w:t>Ultrasonic bath</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E08EC" w14:paraId="3065285B" w14:textId="77777777" w:rsidTr="00666671">
        <w:tc>
          <w:tcPr>
            <w:tcW w:w="656" w:type="dxa"/>
            <w:shd w:val="clear" w:color="auto" w:fill="auto"/>
            <w:vAlign w:val="center"/>
          </w:tcPr>
          <w:p w14:paraId="51D2E4C4" w14:textId="77777777" w:rsidR="009E08EC" w:rsidRPr="008364A8" w:rsidRDefault="009E08EC" w:rsidP="00666671">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229F0B19"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Product specification</w:t>
            </w:r>
          </w:p>
        </w:tc>
        <w:tc>
          <w:tcPr>
            <w:tcW w:w="1079" w:type="dxa"/>
            <w:shd w:val="clear" w:color="auto" w:fill="auto"/>
            <w:vAlign w:val="center"/>
          </w:tcPr>
          <w:p w14:paraId="4A797408"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Quantity</w:t>
            </w:r>
          </w:p>
        </w:tc>
      </w:tr>
      <w:tr w:rsidR="009E08EC" w14:paraId="528FBA4E" w14:textId="77777777" w:rsidTr="00666671">
        <w:trPr>
          <w:trHeight w:val="746"/>
        </w:trPr>
        <w:tc>
          <w:tcPr>
            <w:tcW w:w="656" w:type="dxa"/>
            <w:shd w:val="clear" w:color="auto" w:fill="auto"/>
            <w:vAlign w:val="center"/>
          </w:tcPr>
          <w:p w14:paraId="33C9EF8B" w14:textId="77777777" w:rsidR="009E08EC" w:rsidRPr="004968D7" w:rsidRDefault="009E08EC" w:rsidP="00666671">
            <w:pPr>
              <w:jc w:val="center"/>
              <w:rPr>
                <w:rFonts w:ascii="Times New Roman" w:hAnsi="Times New Roman"/>
                <w:sz w:val="22"/>
              </w:rPr>
            </w:pPr>
            <w:r w:rsidRPr="004968D7">
              <w:rPr>
                <w:rFonts w:ascii="Times New Roman" w:hAnsi="Times New Roman"/>
                <w:sz w:val="22"/>
              </w:rPr>
              <w:t>1</w:t>
            </w:r>
          </w:p>
        </w:tc>
        <w:tc>
          <w:tcPr>
            <w:tcW w:w="6635" w:type="dxa"/>
            <w:shd w:val="clear" w:color="auto" w:fill="auto"/>
            <w:vAlign w:val="center"/>
          </w:tcPr>
          <w:p w14:paraId="64F78215" w14:textId="6EF70164" w:rsidR="009E08EC" w:rsidRPr="002A7C79" w:rsidRDefault="00A5368C" w:rsidP="00666671">
            <w:pPr>
              <w:spacing w:before="0" w:after="0"/>
              <w:rPr>
                <w:rFonts w:ascii="Times New Roman" w:hAnsi="Times New Roman"/>
                <w:sz w:val="22"/>
              </w:rPr>
            </w:pPr>
            <w:r w:rsidRPr="007A7A46">
              <w:rPr>
                <w:rFonts w:ascii="Times New Roman" w:hAnsi="Times New Roman"/>
                <w:b/>
                <w:sz w:val="22"/>
                <w:szCs w:val="22"/>
              </w:rPr>
              <w:t>Ultrasonic bath</w:t>
            </w:r>
          </w:p>
        </w:tc>
        <w:tc>
          <w:tcPr>
            <w:tcW w:w="1079" w:type="dxa"/>
            <w:shd w:val="clear" w:color="auto" w:fill="auto"/>
            <w:vAlign w:val="center"/>
          </w:tcPr>
          <w:p w14:paraId="064650A0" w14:textId="5455F1C6" w:rsidR="009E08EC" w:rsidRPr="00A5368C" w:rsidRDefault="00A5368C" w:rsidP="00666671">
            <w:pPr>
              <w:jc w:val="center"/>
              <w:rPr>
                <w:rFonts w:ascii="Times New Roman" w:hAnsi="Times New Roman"/>
                <w:b/>
                <w:sz w:val="22"/>
              </w:rPr>
            </w:pPr>
            <w:r w:rsidRPr="00A5368C">
              <w:rPr>
                <w:rFonts w:ascii="Times New Roman" w:hAnsi="Times New Roman"/>
                <w:b/>
                <w:sz w:val="22"/>
              </w:rPr>
              <w:t>1 pc</w:t>
            </w:r>
          </w:p>
        </w:tc>
      </w:tr>
    </w:tbl>
    <w:p w14:paraId="44DE48ED" w14:textId="77777777" w:rsidR="00A5368C" w:rsidRDefault="00A5368C" w:rsidP="009E08EC">
      <w:pPr>
        <w:pStyle w:val="ListParagraph"/>
        <w:tabs>
          <w:tab w:val="left" w:pos="709"/>
          <w:tab w:val="left" w:pos="993"/>
        </w:tabs>
        <w:ind w:left="705"/>
        <w:jc w:val="both"/>
        <w:rPr>
          <w:rFonts w:ascii="Times New Roman" w:hAnsi="Times New Roman"/>
          <w:b/>
        </w:rPr>
      </w:pPr>
    </w:p>
    <w:p w14:paraId="28AE022F" w14:textId="04393363" w:rsidR="00A5368C" w:rsidRPr="001120EC" w:rsidRDefault="007A626C" w:rsidP="00A5368C">
      <w:pPr>
        <w:pStyle w:val="ListParagraph"/>
        <w:tabs>
          <w:tab w:val="left" w:pos="709"/>
          <w:tab w:val="left" w:pos="993"/>
        </w:tabs>
        <w:ind w:left="705"/>
        <w:jc w:val="both"/>
        <w:rPr>
          <w:rFonts w:ascii="Times New Roman" w:hAnsi="Times New Roman"/>
          <w:b/>
        </w:rPr>
      </w:pPr>
      <w:r>
        <w:rPr>
          <w:rFonts w:ascii="Times New Roman" w:hAnsi="Times New Roman"/>
          <w:b/>
        </w:rPr>
        <w:t>Lot no. 3</w:t>
      </w:r>
      <w:r w:rsidR="00A5368C" w:rsidRPr="007A7A46">
        <w:rPr>
          <w:rFonts w:ascii="Times New Roman" w:hAnsi="Times New Roman"/>
          <w:b/>
        </w:rPr>
        <w:t xml:space="preserve"> – </w:t>
      </w:r>
      <w:r w:rsidR="00A5368C">
        <w:rPr>
          <w:rFonts w:ascii="Times New Roman" w:hAnsi="Times New Roman"/>
          <w:b/>
          <w:snapToGrid w:val="0"/>
        </w:rPr>
        <w:t>DT-IV Dissolution</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E08EC" w14:paraId="510A7E95" w14:textId="77777777" w:rsidTr="00666671">
        <w:tc>
          <w:tcPr>
            <w:tcW w:w="656" w:type="dxa"/>
            <w:shd w:val="clear" w:color="auto" w:fill="auto"/>
            <w:vAlign w:val="center"/>
          </w:tcPr>
          <w:p w14:paraId="4B76E999" w14:textId="77777777" w:rsidR="009E08EC" w:rsidRPr="008364A8" w:rsidRDefault="009E08EC" w:rsidP="00666671">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2BEC76C3"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Product specification</w:t>
            </w:r>
          </w:p>
        </w:tc>
        <w:tc>
          <w:tcPr>
            <w:tcW w:w="1079" w:type="dxa"/>
            <w:shd w:val="clear" w:color="auto" w:fill="auto"/>
            <w:vAlign w:val="center"/>
          </w:tcPr>
          <w:p w14:paraId="2994EB10"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Quantity</w:t>
            </w:r>
          </w:p>
        </w:tc>
      </w:tr>
      <w:tr w:rsidR="009E08EC" w:rsidRPr="00A5368C" w14:paraId="4B4CF41B" w14:textId="77777777" w:rsidTr="00666671">
        <w:trPr>
          <w:trHeight w:val="746"/>
        </w:trPr>
        <w:tc>
          <w:tcPr>
            <w:tcW w:w="656" w:type="dxa"/>
            <w:shd w:val="clear" w:color="auto" w:fill="auto"/>
            <w:vAlign w:val="center"/>
          </w:tcPr>
          <w:p w14:paraId="1AA6F5B2" w14:textId="77777777" w:rsidR="009E08EC" w:rsidRPr="00A5368C" w:rsidRDefault="009E08EC" w:rsidP="00666671">
            <w:pPr>
              <w:jc w:val="center"/>
              <w:rPr>
                <w:rFonts w:ascii="Times New Roman" w:hAnsi="Times New Roman"/>
                <w:sz w:val="22"/>
                <w:szCs w:val="22"/>
              </w:rPr>
            </w:pPr>
            <w:r w:rsidRPr="00A5368C">
              <w:rPr>
                <w:rFonts w:ascii="Times New Roman" w:hAnsi="Times New Roman"/>
                <w:sz w:val="22"/>
                <w:szCs w:val="22"/>
              </w:rPr>
              <w:t>1</w:t>
            </w:r>
          </w:p>
        </w:tc>
        <w:tc>
          <w:tcPr>
            <w:tcW w:w="6635" w:type="dxa"/>
            <w:shd w:val="clear" w:color="auto" w:fill="auto"/>
            <w:vAlign w:val="center"/>
          </w:tcPr>
          <w:p w14:paraId="122C5FCB" w14:textId="091A00BF" w:rsidR="009E08EC" w:rsidRPr="00A5368C" w:rsidRDefault="00A5368C" w:rsidP="00666671">
            <w:pPr>
              <w:spacing w:before="0" w:after="0"/>
              <w:rPr>
                <w:rFonts w:ascii="Times New Roman" w:hAnsi="Times New Roman"/>
                <w:sz w:val="22"/>
                <w:szCs w:val="22"/>
              </w:rPr>
            </w:pPr>
            <w:r w:rsidRPr="00A5368C">
              <w:rPr>
                <w:rFonts w:ascii="Times New Roman" w:hAnsi="Times New Roman"/>
                <w:b/>
                <w:sz w:val="22"/>
                <w:szCs w:val="22"/>
              </w:rPr>
              <w:t>DT-IV Dissolution</w:t>
            </w:r>
          </w:p>
        </w:tc>
        <w:tc>
          <w:tcPr>
            <w:tcW w:w="1079" w:type="dxa"/>
            <w:shd w:val="clear" w:color="auto" w:fill="auto"/>
            <w:vAlign w:val="center"/>
          </w:tcPr>
          <w:p w14:paraId="4B63B614" w14:textId="6DF7BD99" w:rsidR="009E08EC" w:rsidRPr="00A5368C" w:rsidRDefault="00A5368C" w:rsidP="00666671">
            <w:pPr>
              <w:jc w:val="center"/>
              <w:rPr>
                <w:rFonts w:ascii="Times New Roman" w:hAnsi="Times New Roman"/>
                <w:b/>
                <w:sz w:val="22"/>
                <w:szCs w:val="22"/>
              </w:rPr>
            </w:pPr>
            <w:r w:rsidRPr="00A5368C">
              <w:rPr>
                <w:rFonts w:ascii="Times New Roman" w:hAnsi="Times New Roman"/>
                <w:b/>
                <w:sz w:val="22"/>
                <w:szCs w:val="22"/>
              </w:rPr>
              <w:t>1 set</w:t>
            </w:r>
          </w:p>
        </w:tc>
      </w:tr>
    </w:tbl>
    <w:p w14:paraId="4A2B9DEC" w14:textId="282362DE" w:rsidR="00CB39DD" w:rsidRPr="00A35457" w:rsidRDefault="009E08EC" w:rsidP="006E6ECA">
      <w:pPr>
        <w:ind w:left="720"/>
        <w:jc w:val="both"/>
        <w:rPr>
          <w:rFonts w:ascii="Times New Roman" w:hAnsi="Times New Roman"/>
          <w:sz w:val="22"/>
          <w:highlight w:val="yellow"/>
        </w:rPr>
      </w:pPr>
      <w:r w:rsidRPr="007B70EE">
        <w:rPr>
          <w:rFonts w:ascii="Times New Roman" w:hAnsi="Times New Roman"/>
          <w:sz w:val="22"/>
        </w:rPr>
        <w:t xml:space="preserve">The place of acceptance of the supplies shall be </w:t>
      </w:r>
      <w:r>
        <w:rPr>
          <w:rFonts w:ascii="Times New Roman" w:hAnsi="Times New Roman"/>
          <w:b/>
          <w:sz w:val="22"/>
        </w:rPr>
        <w:t xml:space="preserve">Novi Sad, </w:t>
      </w:r>
      <w:proofErr w:type="spellStart"/>
      <w:r>
        <w:rPr>
          <w:rFonts w:ascii="Times New Roman" w:hAnsi="Times New Roman"/>
          <w:b/>
          <w:sz w:val="22"/>
        </w:rPr>
        <w:t>Bulevar</w:t>
      </w:r>
      <w:proofErr w:type="spellEnd"/>
      <w:r>
        <w:rPr>
          <w:rFonts w:ascii="Times New Roman" w:hAnsi="Times New Roman"/>
          <w:b/>
          <w:sz w:val="22"/>
        </w:rPr>
        <w:t xml:space="preserve"> </w:t>
      </w:r>
      <w:proofErr w:type="spellStart"/>
      <w:proofErr w:type="gramStart"/>
      <w:r>
        <w:rPr>
          <w:rFonts w:ascii="Times New Roman" w:hAnsi="Times New Roman"/>
          <w:b/>
          <w:sz w:val="22"/>
        </w:rPr>
        <w:t>cara</w:t>
      </w:r>
      <w:proofErr w:type="spellEnd"/>
      <w:proofErr w:type="gramEnd"/>
      <w:r>
        <w:rPr>
          <w:rFonts w:ascii="Times New Roman" w:hAnsi="Times New Roman"/>
          <w:b/>
          <w:sz w:val="22"/>
        </w:rPr>
        <w:t xml:space="preserve"> </w:t>
      </w:r>
      <w:proofErr w:type="spellStart"/>
      <w:r>
        <w:rPr>
          <w:rFonts w:ascii="Times New Roman" w:hAnsi="Times New Roman"/>
          <w:b/>
          <w:sz w:val="22"/>
        </w:rPr>
        <w:t>Lazara</w:t>
      </w:r>
      <w:proofErr w:type="spellEnd"/>
      <w:r>
        <w:rPr>
          <w:rFonts w:ascii="Times New Roman" w:hAnsi="Times New Roman"/>
          <w:b/>
          <w:sz w:val="22"/>
        </w:rPr>
        <w:t xml:space="preserve"> no. 1</w:t>
      </w:r>
      <w:r w:rsidRPr="007B70EE">
        <w:rPr>
          <w:rFonts w:ascii="Times New Roman" w:hAnsi="Times New Roman"/>
          <w:sz w:val="22"/>
        </w:rPr>
        <w:t>, the time limits for delivery</w:t>
      </w:r>
      <w:r>
        <w:rPr>
          <w:rFonts w:ascii="Times New Roman" w:hAnsi="Times New Roman"/>
          <w:sz w:val="22"/>
        </w:rPr>
        <w:t xml:space="preserve"> for </w:t>
      </w:r>
      <w:r w:rsidR="007A626C">
        <w:rPr>
          <w:rFonts w:ascii="Times New Roman" w:hAnsi="Times New Roman"/>
          <w:b/>
          <w:sz w:val="22"/>
        </w:rPr>
        <w:t>lot no. 1, lot no. 2 and</w:t>
      </w:r>
      <w:r w:rsidRPr="001E0964">
        <w:rPr>
          <w:rFonts w:ascii="Times New Roman" w:hAnsi="Times New Roman"/>
          <w:b/>
          <w:sz w:val="22"/>
        </w:rPr>
        <w:t xml:space="preserve"> lot no. 3 </w:t>
      </w:r>
      <w:r w:rsidRPr="007B70EE">
        <w:rPr>
          <w:rFonts w:ascii="Times New Roman" w:hAnsi="Times New Roman"/>
          <w:sz w:val="22"/>
        </w:rPr>
        <w:t xml:space="preserve">shall be </w:t>
      </w:r>
      <w:r>
        <w:rPr>
          <w:rFonts w:ascii="Times New Roman" w:hAnsi="Times New Roman"/>
          <w:b/>
          <w:sz w:val="22"/>
        </w:rPr>
        <w:t>5 months</w:t>
      </w:r>
      <w:r w:rsidRPr="007B70EE">
        <w:rPr>
          <w:rFonts w:ascii="Times New Roman" w:hAnsi="Times New Roman"/>
          <w:sz w:val="22"/>
        </w:rPr>
        <w:t xml:space="preserve"> and the </w:t>
      </w:r>
      <w:r w:rsidRPr="007B70EE">
        <w:rPr>
          <w:rFonts w:ascii="Times New Roman" w:hAnsi="Times New Roman"/>
          <w:sz w:val="22"/>
        </w:rPr>
        <w:lastRenderedPageBreak/>
        <w:t xml:space="preserve">Incoterm applicable shall </w:t>
      </w:r>
      <w:r w:rsidRPr="00A940DC">
        <w:rPr>
          <w:rFonts w:ascii="Times New Roman" w:hAnsi="Times New Roman"/>
          <w:sz w:val="22"/>
        </w:rPr>
        <w:t xml:space="preserve">be </w:t>
      </w:r>
      <w:r w:rsidRPr="008364A8">
        <w:rPr>
          <w:rFonts w:ascii="Times New Roman" w:hAnsi="Times New Roman"/>
          <w:b/>
          <w:sz w:val="22"/>
        </w:rPr>
        <w:t>DDP</w:t>
      </w:r>
      <w:r>
        <w:rPr>
          <w:rFonts w:ascii="Times New Roman" w:hAnsi="Times New Roman"/>
          <w:b/>
          <w:sz w:val="22"/>
        </w:rPr>
        <w:t xml:space="preserve"> including VAT</w:t>
      </w:r>
      <w:r w:rsidRPr="00A940DC">
        <w:rPr>
          <w:rFonts w:ascii="Times New Roman" w:hAnsi="Times New Roman"/>
          <w:sz w:val="22"/>
        </w:rPr>
        <w:t>. The implementation period</w:t>
      </w:r>
      <w:r>
        <w:rPr>
          <w:rFonts w:ascii="Times New Roman" w:hAnsi="Times New Roman"/>
          <w:sz w:val="22"/>
        </w:rPr>
        <w:t xml:space="preserve"> of tasks</w:t>
      </w:r>
      <w:r w:rsidRPr="00A940DC">
        <w:rPr>
          <w:rFonts w:ascii="Times New Roman" w:hAnsi="Times New Roman"/>
          <w:sz w:val="22"/>
        </w:rPr>
        <w:t xml:space="preserve"> shall run from </w:t>
      </w:r>
      <w:r w:rsidR="007A626C">
        <w:rPr>
          <w:rFonts w:ascii="Times New Roman" w:hAnsi="Times New Roman"/>
          <w:b/>
          <w:sz w:val="22"/>
        </w:rPr>
        <w:t>April</w:t>
      </w:r>
      <w:r>
        <w:rPr>
          <w:rFonts w:ascii="Times New Roman" w:hAnsi="Times New Roman"/>
          <w:b/>
          <w:sz w:val="22"/>
        </w:rPr>
        <w:t xml:space="preserve"> </w:t>
      </w:r>
      <w:r w:rsidR="007A626C">
        <w:rPr>
          <w:rFonts w:ascii="Times New Roman" w:hAnsi="Times New Roman"/>
          <w:b/>
          <w:sz w:val="22"/>
        </w:rPr>
        <w:t>23</w:t>
      </w:r>
      <w:r w:rsidR="007A626C">
        <w:rPr>
          <w:rFonts w:ascii="Times New Roman" w:hAnsi="Times New Roman"/>
          <w:b/>
          <w:sz w:val="22"/>
          <w:vertAlign w:val="superscript"/>
        </w:rPr>
        <w:t>rd</w:t>
      </w:r>
      <w:r>
        <w:rPr>
          <w:rFonts w:ascii="Times New Roman" w:hAnsi="Times New Roman"/>
          <w:b/>
          <w:sz w:val="22"/>
        </w:rPr>
        <w:t xml:space="preserve"> 2025</w:t>
      </w:r>
      <w:r w:rsidRPr="00A940DC">
        <w:rPr>
          <w:rFonts w:ascii="Times New Roman" w:hAnsi="Times New Roman"/>
          <w:sz w:val="22"/>
        </w:rPr>
        <w:t xml:space="preserve"> to</w:t>
      </w:r>
      <w:r>
        <w:rPr>
          <w:rFonts w:ascii="Times New Roman" w:hAnsi="Times New Roman"/>
          <w:sz w:val="22"/>
        </w:rPr>
        <w:t xml:space="preserve"> </w:t>
      </w:r>
      <w:r w:rsidR="007A626C">
        <w:rPr>
          <w:rFonts w:ascii="Times New Roman" w:hAnsi="Times New Roman"/>
          <w:b/>
          <w:sz w:val="22"/>
        </w:rPr>
        <w:t>September</w:t>
      </w:r>
      <w:r w:rsidRPr="008364A8">
        <w:rPr>
          <w:rFonts w:ascii="Times New Roman" w:hAnsi="Times New Roman"/>
          <w:b/>
          <w:sz w:val="22"/>
        </w:rPr>
        <w:t xml:space="preserve"> </w:t>
      </w:r>
      <w:r w:rsidR="007A626C">
        <w:rPr>
          <w:rFonts w:ascii="Times New Roman" w:hAnsi="Times New Roman"/>
          <w:b/>
          <w:sz w:val="22"/>
        </w:rPr>
        <w:t>23</w:t>
      </w:r>
      <w:r w:rsidR="007A626C">
        <w:rPr>
          <w:rFonts w:ascii="Times New Roman" w:hAnsi="Times New Roman"/>
          <w:b/>
          <w:sz w:val="22"/>
          <w:vertAlign w:val="superscript"/>
        </w:rPr>
        <w:t>rd</w:t>
      </w:r>
      <w:r w:rsidRPr="008364A8">
        <w:rPr>
          <w:rFonts w:ascii="Times New Roman" w:hAnsi="Times New Roman"/>
          <w:b/>
          <w:sz w:val="22"/>
        </w:rPr>
        <w:t xml:space="preserve"> 202</w:t>
      </w:r>
      <w:r>
        <w:rPr>
          <w:rFonts w:ascii="Times New Roman" w:hAnsi="Times New Roman"/>
          <w:b/>
          <w:sz w:val="22"/>
        </w:rPr>
        <w:t>5</w:t>
      </w:r>
      <w:r w:rsidRPr="00A940DC">
        <w:rPr>
          <w:rFonts w:ascii="Times New Roman" w:hAnsi="Times New Roman"/>
          <w:sz w:val="22"/>
        </w:rPr>
        <w:t>.</w:t>
      </w: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B7DA11F" w14:textId="46A30970" w:rsidR="0047783A" w:rsidRPr="009205DE" w:rsidRDefault="0047783A" w:rsidP="009205DE">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406BD6">
        <w:rPr>
          <w:rFonts w:ascii="Times New Roman" w:hAnsi="Times New Roman"/>
          <w:sz w:val="22"/>
          <w:lang w:val="en-GB"/>
        </w:rPr>
        <w:t>N/A</w:t>
      </w:r>
    </w:p>
    <w:p w14:paraId="2D9AF163" w14:textId="2E91D34A"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03B24829" w14:textId="1DF895B9" w:rsidR="00096BD5" w:rsidRPr="008B6A30" w:rsidRDefault="0047783A" w:rsidP="008B6A30">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7721F67F" w:rsidR="0047783A" w:rsidRPr="00E82463" w:rsidRDefault="00406BD6" w:rsidP="00A4424B">
            <w:pPr>
              <w:jc w:val="center"/>
              <w:rPr>
                <w:rFonts w:ascii="Times New Roman" w:hAnsi="Times New Roman"/>
                <w:sz w:val="22"/>
              </w:rPr>
            </w:pPr>
            <w:r>
              <w:rPr>
                <w:rFonts w:ascii="Times New Roman" w:hAnsi="Times New Roman"/>
                <w:sz w:val="22"/>
              </w:rPr>
              <w:t>-</w:t>
            </w:r>
          </w:p>
        </w:tc>
        <w:tc>
          <w:tcPr>
            <w:tcW w:w="2268" w:type="dxa"/>
          </w:tcPr>
          <w:p w14:paraId="3171B4F1" w14:textId="1ADAF7EC" w:rsidR="0047783A" w:rsidRPr="00E82463" w:rsidRDefault="00406BD6" w:rsidP="00A4424B">
            <w:pPr>
              <w:jc w:val="center"/>
              <w:rPr>
                <w:rFonts w:ascii="Times New Roman" w:hAnsi="Times New Roman"/>
                <w:sz w:val="22"/>
              </w:rPr>
            </w:pPr>
            <w:r>
              <w:rPr>
                <w:rFonts w:ascii="Times New Roman" w:hAnsi="Times New Roman"/>
                <w:sz w:val="22"/>
              </w:rPr>
              <w:t>-</w:t>
            </w:r>
          </w:p>
        </w:tc>
      </w:tr>
      <w:tr w:rsidR="0047783A" w:rsidRPr="00E82463" w14:paraId="288DD2BD" w14:textId="77777777" w:rsidTr="00406BD6">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vAlign w:val="center"/>
          </w:tcPr>
          <w:p w14:paraId="16FA9B8B" w14:textId="39F5807F" w:rsidR="0047783A" w:rsidRPr="00E82463" w:rsidRDefault="007A626C" w:rsidP="007A626C">
            <w:pPr>
              <w:rPr>
                <w:rFonts w:ascii="Times New Roman" w:hAnsi="Times New Roman"/>
                <w:sz w:val="22"/>
              </w:rPr>
            </w:pPr>
            <w:r>
              <w:rPr>
                <w:rFonts w:ascii="Times New Roman" w:hAnsi="Times New Roman"/>
                <w:sz w:val="22"/>
              </w:rPr>
              <w:t>March</w:t>
            </w:r>
            <w:r w:rsidR="00406BD6">
              <w:rPr>
                <w:rFonts w:ascii="Times New Roman" w:hAnsi="Times New Roman"/>
                <w:sz w:val="22"/>
              </w:rPr>
              <w:t xml:space="preserve"> </w:t>
            </w:r>
            <w:r>
              <w:rPr>
                <w:rFonts w:ascii="Times New Roman" w:hAnsi="Times New Roman"/>
                <w:sz w:val="22"/>
              </w:rPr>
              <w:t>31</w:t>
            </w:r>
            <w:r w:rsidRPr="007A626C">
              <w:rPr>
                <w:rFonts w:ascii="Times New Roman" w:hAnsi="Times New Roman"/>
                <w:sz w:val="22"/>
                <w:vertAlign w:val="superscript"/>
              </w:rPr>
              <w:t>st</w:t>
            </w:r>
            <w:r>
              <w:rPr>
                <w:rFonts w:ascii="Times New Roman" w:hAnsi="Times New Roman"/>
                <w:sz w:val="22"/>
              </w:rPr>
              <w:t xml:space="preserve"> </w:t>
            </w:r>
            <w:r w:rsidR="00406BD6">
              <w:rPr>
                <w:rFonts w:ascii="Times New Roman" w:hAnsi="Times New Roman"/>
                <w:sz w:val="22"/>
              </w:rPr>
              <w:t>202</w:t>
            </w:r>
            <w:r w:rsidR="00A5368C">
              <w:rPr>
                <w:rFonts w:ascii="Times New Roman" w:hAnsi="Times New Roman"/>
                <w:sz w:val="22"/>
              </w:rPr>
              <w:t>5</w:t>
            </w:r>
          </w:p>
        </w:tc>
        <w:tc>
          <w:tcPr>
            <w:tcW w:w="2268" w:type="dxa"/>
            <w:vAlign w:val="center"/>
          </w:tcPr>
          <w:p w14:paraId="272DF146" w14:textId="24CA6255" w:rsidR="0047783A" w:rsidRPr="00E82463" w:rsidRDefault="00406BD6" w:rsidP="00406BD6">
            <w:pPr>
              <w:jc w:val="center"/>
              <w:rPr>
                <w:rFonts w:ascii="Times New Roman" w:hAnsi="Times New Roman"/>
                <w:sz w:val="22"/>
              </w:rPr>
            </w:pPr>
            <w:r>
              <w:rPr>
                <w:rFonts w:ascii="Times New Roman" w:hAnsi="Times New Roman"/>
                <w:sz w:val="22"/>
              </w:rPr>
              <w:t>20:00 local time</w:t>
            </w:r>
          </w:p>
        </w:tc>
      </w:tr>
      <w:tr w:rsidR="0047783A" w:rsidRPr="00E82463" w14:paraId="671E91AF" w14:textId="77777777" w:rsidTr="00406BD6">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vAlign w:val="center"/>
          </w:tcPr>
          <w:p w14:paraId="4AE1EDA2" w14:textId="5F760A83" w:rsidR="0047783A" w:rsidRPr="00E82463" w:rsidRDefault="007A626C" w:rsidP="00A5368C">
            <w:pPr>
              <w:rPr>
                <w:rFonts w:ascii="Times New Roman" w:hAnsi="Times New Roman"/>
                <w:sz w:val="22"/>
              </w:rPr>
            </w:pPr>
            <w:r>
              <w:rPr>
                <w:rFonts w:ascii="Times New Roman" w:hAnsi="Times New Roman"/>
                <w:sz w:val="22"/>
              </w:rPr>
              <w:t>April</w:t>
            </w:r>
            <w:r w:rsidR="00406BD6">
              <w:rPr>
                <w:rFonts w:ascii="Times New Roman" w:hAnsi="Times New Roman"/>
                <w:sz w:val="22"/>
              </w:rPr>
              <w:t xml:space="preserve"> </w:t>
            </w:r>
            <w:r w:rsidR="00A5368C">
              <w:rPr>
                <w:rFonts w:ascii="Times New Roman" w:hAnsi="Times New Roman"/>
                <w:sz w:val="22"/>
              </w:rPr>
              <w:t>1</w:t>
            </w:r>
            <w:r>
              <w:rPr>
                <w:rFonts w:ascii="Times New Roman" w:hAnsi="Times New Roman"/>
                <w:sz w:val="22"/>
              </w:rPr>
              <w:t>0</w:t>
            </w:r>
            <w:r w:rsidR="00406BD6" w:rsidRPr="00406BD6">
              <w:rPr>
                <w:rFonts w:ascii="Times New Roman" w:hAnsi="Times New Roman"/>
                <w:sz w:val="22"/>
                <w:vertAlign w:val="superscript"/>
              </w:rPr>
              <w:t>th</w:t>
            </w:r>
            <w:r w:rsidR="00406BD6">
              <w:rPr>
                <w:rFonts w:ascii="Times New Roman" w:hAnsi="Times New Roman"/>
                <w:sz w:val="22"/>
              </w:rPr>
              <w:t xml:space="preserve"> 202</w:t>
            </w:r>
            <w:r w:rsidR="00A5368C">
              <w:rPr>
                <w:rFonts w:ascii="Times New Roman" w:hAnsi="Times New Roman"/>
                <w:sz w:val="22"/>
              </w:rPr>
              <w:t>5</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06BD6" w:rsidRPr="00E82463" w14:paraId="19F47F48" w14:textId="77777777" w:rsidTr="00A4424B">
        <w:tc>
          <w:tcPr>
            <w:tcW w:w="3969" w:type="dxa"/>
            <w:shd w:val="pct10" w:color="auto" w:fill="FFFFFF"/>
          </w:tcPr>
          <w:p w14:paraId="1AC7CCC7" w14:textId="77777777" w:rsidR="00406BD6" w:rsidRPr="00E82463" w:rsidRDefault="00406BD6" w:rsidP="00406BD6">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72B03BA7" w:rsidR="00406BD6" w:rsidRPr="00E82463" w:rsidRDefault="007A626C" w:rsidP="007A626C">
            <w:pPr>
              <w:rPr>
                <w:rFonts w:ascii="Times New Roman" w:hAnsi="Times New Roman"/>
                <w:sz w:val="22"/>
              </w:rPr>
            </w:pPr>
            <w:r>
              <w:rPr>
                <w:rFonts w:ascii="Times New Roman" w:hAnsi="Times New Roman"/>
                <w:sz w:val="22"/>
              </w:rPr>
              <w:t>April</w:t>
            </w:r>
            <w:r w:rsidR="00406BD6" w:rsidRPr="00406BD6">
              <w:rPr>
                <w:rFonts w:ascii="Times New Roman" w:hAnsi="Times New Roman"/>
                <w:sz w:val="22"/>
              </w:rPr>
              <w:t xml:space="preserve"> </w:t>
            </w:r>
            <w:r w:rsidR="00A5368C">
              <w:rPr>
                <w:rFonts w:ascii="Times New Roman" w:hAnsi="Times New Roman"/>
                <w:sz w:val="22"/>
              </w:rPr>
              <w:t>2</w:t>
            </w:r>
            <w:r>
              <w:rPr>
                <w:rFonts w:ascii="Times New Roman" w:hAnsi="Times New Roman"/>
                <w:sz w:val="22"/>
              </w:rPr>
              <w:t>1</w:t>
            </w:r>
            <w:r>
              <w:rPr>
                <w:rFonts w:ascii="Times New Roman" w:hAnsi="Times New Roman"/>
                <w:sz w:val="22"/>
                <w:vertAlign w:val="superscript"/>
              </w:rPr>
              <w:t>st</w:t>
            </w:r>
            <w:r w:rsidR="00406BD6">
              <w:rPr>
                <w:rFonts w:ascii="Times New Roman" w:hAnsi="Times New Roman"/>
                <w:sz w:val="22"/>
              </w:rPr>
              <w:t xml:space="preserve"> </w:t>
            </w:r>
            <w:r w:rsidR="00406BD6" w:rsidRPr="00406BD6">
              <w:rPr>
                <w:rFonts w:ascii="Times New Roman" w:hAnsi="Times New Roman"/>
                <w:sz w:val="22"/>
              </w:rPr>
              <w:t>202</w:t>
            </w:r>
            <w:r w:rsidR="00A5368C">
              <w:rPr>
                <w:rFonts w:ascii="Times New Roman" w:hAnsi="Times New Roman"/>
                <w:sz w:val="22"/>
              </w:rPr>
              <w:t>5</w:t>
            </w:r>
          </w:p>
        </w:tc>
        <w:tc>
          <w:tcPr>
            <w:tcW w:w="2268" w:type="dxa"/>
          </w:tcPr>
          <w:p w14:paraId="0A312210" w14:textId="063303AC" w:rsidR="00406BD6" w:rsidRPr="00E82463" w:rsidRDefault="00406BD6" w:rsidP="00406BD6">
            <w:pPr>
              <w:jc w:val="center"/>
              <w:rPr>
                <w:rFonts w:ascii="Times New Roman" w:hAnsi="Times New Roman"/>
                <w:sz w:val="22"/>
              </w:rPr>
            </w:pPr>
            <w:r>
              <w:rPr>
                <w:rFonts w:ascii="Times New Roman" w:hAnsi="Times New Roman"/>
                <w:sz w:val="22"/>
              </w:rPr>
              <w:t>13</w:t>
            </w:r>
            <w:r w:rsidRPr="006409FD">
              <w:rPr>
                <w:rFonts w:ascii="Times New Roman" w:hAnsi="Times New Roman"/>
                <w:sz w:val="22"/>
              </w:rPr>
              <w:t>:00 local time</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1BAA87CD" w:rsidR="0047783A" w:rsidRPr="00E82463" w:rsidRDefault="007A626C" w:rsidP="00A5368C">
            <w:pPr>
              <w:rPr>
                <w:rFonts w:ascii="Times New Roman" w:hAnsi="Times New Roman"/>
                <w:sz w:val="22"/>
              </w:rPr>
            </w:pPr>
            <w:r>
              <w:rPr>
                <w:rFonts w:ascii="Times New Roman" w:hAnsi="Times New Roman"/>
                <w:sz w:val="22"/>
              </w:rPr>
              <w:t>April</w:t>
            </w:r>
            <w:r w:rsidR="00406BD6" w:rsidRPr="00406BD6">
              <w:rPr>
                <w:rFonts w:ascii="Times New Roman" w:hAnsi="Times New Roman"/>
                <w:sz w:val="22"/>
              </w:rPr>
              <w:t xml:space="preserve"> </w:t>
            </w:r>
            <w:r w:rsidR="00A5368C">
              <w:rPr>
                <w:rFonts w:ascii="Times New Roman" w:hAnsi="Times New Roman"/>
                <w:sz w:val="22"/>
              </w:rPr>
              <w:t>2</w:t>
            </w:r>
            <w:r>
              <w:rPr>
                <w:rFonts w:ascii="Times New Roman" w:hAnsi="Times New Roman"/>
                <w:sz w:val="22"/>
              </w:rPr>
              <w:t>1</w:t>
            </w:r>
            <w:r>
              <w:rPr>
                <w:rFonts w:ascii="Times New Roman" w:hAnsi="Times New Roman"/>
                <w:sz w:val="22"/>
                <w:vertAlign w:val="superscript"/>
              </w:rPr>
              <w:t>st</w:t>
            </w:r>
            <w:r w:rsidR="00406BD6">
              <w:rPr>
                <w:rFonts w:ascii="Times New Roman" w:hAnsi="Times New Roman"/>
                <w:sz w:val="22"/>
              </w:rPr>
              <w:t xml:space="preserve"> </w:t>
            </w:r>
            <w:r w:rsidR="00406BD6" w:rsidRPr="00406BD6">
              <w:rPr>
                <w:rFonts w:ascii="Times New Roman" w:hAnsi="Times New Roman"/>
                <w:sz w:val="22"/>
              </w:rPr>
              <w:t>202</w:t>
            </w:r>
            <w:r w:rsidR="00A5368C">
              <w:rPr>
                <w:rFonts w:ascii="Times New Roman" w:hAnsi="Times New Roman"/>
                <w:sz w:val="22"/>
              </w:rPr>
              <w:t>5</w:t>
            </w:r>
          </w:p>
        </w:tc>
        <w:tc>
          <w:tcPr>
            <w:tcW w:w="2268" w:type="dxa"/>
          </w:tcPr>
          <w:p w14:paraId="5FB56C7D" w14:textId="4661E316" w:rsidR="0047783A" w:rsidRPr="00E82463" w:rsidRDefault="00406BD6" w:rsidP="00A4424B">
            <w:pPr>
              <w:jc w:val="center"/>
              <w:rPr>
                <w:rFonts w:ascii="Times New Roman" w:hAnsi="Times New Roman"/>
                <w:sz w:val="22"/>
              </w:rPr>
            </w:pPr>
            <w:r>
              <w:rPr>
                <w:rFonts w:ascii="Times New Roman" w:hAnsi="Times New Roman"/>
                <w:sz w:val="22"/>
              </w:rPr>
              <w:t>14</w:t>
            </w:r>
            <w:r w:rsidRPr="00406BD6">
              <w:rPr>
                <w:rFonts w:ascii="Times New Roman" w:hAnsi="Times New Roman"/>
                <w:sz w:val="22"/>
              </w:rPr>
              <w:t>:00 local time</w:t>
            </w:r>
          </w:p>
        </w:tc>
      </w:tr>
      <w:tr w:rsidR="0047783A" w:rsidRPr="00E82463" w14:paraId="46D7559E" w14:textId="77777777" w:rsidTr="00406BD6">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1CC88330" w14:textId="054E72E8" w:rsidR="0047783A" w:rsidRPr="00E82463" w:rsidRDefault="007A626C" w:rsidP="007A626C">
            <w:pPr>
              <w:tabs>
                <w:tab w:val="left" w:pos="851"/>
              </w:tabs>
              <w:rPr>
                <w:rFonts w:ascii="Times New Roman" w:hAnsi="Times New Roman"/>
                <w:sz w:val="22"/>
              </w:rPr>
            </w:pPr>
            <w:r>
              <w:rPr>
                <w:rFonts w:ascii="Times New Roman" w:hAnsi="Times New Roman"/>
                <w:sz w:val="22"/>
              </w:rPr>
              <w:t>April</w:t>
            </w:r>
            <w:r w:rsidR="009E08EC">
              <w:rPr>
                <w:rFonts w:ascii="Times New Roman" w:hAnsi="Times New Roman"/>
                <w:sz w:val="22"/>
              </w:rPr>
              <w:t xml:space="preserve"> </w:t>
            </w:r>
            <w:r w:rsidR="00A5368C">
              <w:rPr>
                <w:rFonts w:ascii="Times New Roman" w:hAnsi="Times New Roman"/>
                <w:sz w:val="22"/>
              </w:rPr>
              <w:t>2</w:t>
            </w:r>
            <w:r>
              <w:rPr>
                <w:rFonts w:ascii="Times New Roman" w:hAnsi="Times New Roman"/>
                <w:sz w:val="22"/>
              </w:rPr>
              <w:t>2</w:t>
            </w:r>
            <w:r>
              <w:rPr>
                <w:rFonts w:ascii="Times New Roman" w:hAnsi="Times New Roman"/>
                <w:sz w:val="22"/>
                <w:vertAlign w:val="superscript"/>
              </w:rPr>
              <w:t>nd</w:t>
            </w:r>
            <w:r w:rsidR="00406BD6">
              <w:rPr>
                <w:rFonts w:ascii="Times New Roman" w:hAnsi="Times New Roman"/>
                <w:sz w:val="22"/>
              </w:rPr>
              <w:t xml:space="preserve"> 202</w:t>
            </w:r>
            <w:r w:rsidR="00A5368C">
              <w:rPr>
                <w:rFonts w:ascii="Times New Roman" w:hAnsi="Times New Roman"/>
                <w:sz w:val="22"/>
              </w:rPr>
              <w:t>5</w:t>
            </w:r>
          </w:p>
        </w:tc>
        <w:tc>
          <w:tcPr>
            <w:tcW w:w="2268" w:type="dxa"/>
            <w:vAlign w:val="center"/>
          </w:tcPr>
          <w:p w14:paraId="535D8C2C" w14:textId="77777777" w:rsidR="0047783A" w:rsidRPr="00E82463" w:rsidRDefault="0047783A" w:rsidP="00406BD6">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406BD6">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655D732B" w14:textId="20083648" w:rsidR="0047783A" w:rsidRPr="00E82463" w:rsidRDefault="007A626C" w:rsidP="007A626C">
            <w:pPr>
              <w:tabs>
                <w:tab w:val="left" w:pos="851"/>
              </w:tabs>
              <w:rPr>
                <w:rFonts w:ascii="Times New Roman" w:hAnsi="Times New Roman"/>
                <w:sz w:val="22"/>
              </w:rPr>
            </w:pPr>
            <w:r>
              <w:rPr>
                <w:rFonts w:ascii="Times New Roman" w:hAnsi="Times New Roman"/>
                <w:sz w:val="22"/>
              </w:rPr>
              <w:t>April</w:t>
            </w:r>
            <w:r w:rsidR="00406BD6">
              <w:rPr>
                <w:rFonts w:ascii="Times New Roman" w:hAnsi="Times New Roman"/>
                <w:sz w:val="22"/>
              </w:rPr>
              <w:t xml:space="preserve"> </w:t>
            </w:r>
            <w:r>
              <w:rPr>
                <w:rFonts w:ascii="Times New Roman" w:hAnsi="Times New Roman"/>
                <w:sz w:val="22"/>
              </w:rPr>
              <w:t>23</w:t>
            </w:r>
            <w:r>
              <w:rPr>
                <w:rFonts w:ascii="Times New Roman" w:hAnsi="Times New Roman"/>
                <w:sz w:val="22"/>
                <w:vertAlign w:val="superscript"/>
              </w:rPr>
              <w:t>rd</w:t>
            </w:r>
            <w:r w:rsidR="00406BD6">
              <w:rPr>
                <w:rFonts w:ascii="Times New Roman" w:hAnsi="Times New Roman"/>
                <w:sz w:val="22"/>
              </w:rPr>
              <w:t xml:space="preserve"> 202</w:t>
            </w:r>
            <w:r w:rsidR="009E08EC">
              <w:rPr>
                <w:rFonts w:ascii="Times New Roman" w:hAnsi="Times New Roman"/>
                <w:sz w:val="22"/>
              </w:rPr>
              <w:t>5</w:t>
            </w:r>
          </w:p>
        </w:tc>
        <w:tc>
          <w:tcPr>
            <w:tcW w:w="2268" w:type="dxa"/>
          </w:tcPr>
          <w:p w14:paraId="4D182DCF" w14:textId="77777777" w:rsidR="0047783A" w:rsidRPr="00E82463" w:rsidRDefault="0047783A" w:rsidP="00406BD6">
            <w:pPr>
              <w:tabs>
                <w:tab w:val="left" w:pos="851"/>
              </w:tabs>
              <w:jc w:val="center"/>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RPr="009205DE" w:rsidDel="00096BD5">
        <w:rPr>
          <w:sz w:val="22"/>
          <w:szCs w:val="22"/>
          <w:lang w:val="en-GB"/>
        </w:rPr>
        <w:t xml:space="preserve"> </w:t>
      </w:r>
      <w:r w:rsidR="0047783A" w:rsidRPr="009205DE">
        <w:rPr>
          <w:sz w:val="22"/>
          <w:lang w:val="en-GB"/>
        </w:rPr>
        <w:t>3.2</w:t>
      </w:r>
      <w:r w:rsidR="0047783A" w:rsidRPr="009205DE">
        <w:rPr>
          <w:sz w:val="22"/>
          <w:lang w:val="en-GB"/>
        </w:rPr>
        <w:tab/>
      </w:r>
      <w:r w:rsidR="007609B6" w:rsidRPr="009205DE">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w:t>
      </w:r>
      <w:r w:rsidR="007A0C47" w:rsidRPr="00AF31AE">
        <w:rPr>
          <w:rFonts w:ascii="Times New Roman" w:hAnsi="Times New Roman"/>
          <w:sz w:val="22"/>
          <w:lang w:val="en-GB"/>
        </w:rPr>
        <w:lastRenderedPageBreak/>
        <w:t xml:space="preserve">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 xml:space="preserve">Type of </w:t>
      </w:r>
      <w:proofErr w:type="spellStart"/>
      <w:r w:rsidRPr="00E82463">
        <w:t>contract</w:t>
      </w:r>
      <w:bookmarkEnd w:id="8"/>
      <w:proofErr w:type="spellEnd"/>
    </w:p>
    <w:p w14:paraId="27EF6031" w14:textId="386B5F76" w:rsidR="0047783A" w:rsidRDefault="0047783A" w:rsidP="0047783A">
      <w:pPr>
        <w:pStyle w:val="Heading2"/>
        <w:keepNext w:val="0"/>
        <w:ind w:left="567"/>
        <w:jc w:val="both"/>
        <w:rPr>
          <w:rFonts w:ascii="Times New Roman" w:hAnsi="Times New Roman"/>
          <w:sz w:val="22"/>
          <w:lang w:val="en-GB"/>
        </w:rPr>
      </w:pPr>
      <w:proofErr w:type="gramStart"/>
      <w:r w:rsidRPr="009205DE">
        <w:rPr>
          <w:rFonts w:ascii="Times New Roman" w:hAnsi="Times New Roman"/>
          <w:sz w:val="22"/>
          <w:lang w:val="en-GB"/>
        </w:rPr>
        <w:t>unit-price</w:t>
      </w:r>
      <w:proofErr w:type="gramEnd"/>
      <w:r w:rsidR="00D8732D">
        <w:rPr>
          <w:rFonts w:ascii="Times New Roman" w:hAnsi="Times New Roman"/>
          <w:sz w:val="22"/>
          <w:lang w:val="en-GB"/>
        </w:rPr>
        <w:t xml:space="preserve"> </w:t>
      </w:r>
    </w:p>
    <w:p w14:paraId="22264C10" w14:textId="77777777" w:rsidR="0047783A" w:rsidRPr="00C76C92" w:rsidRDefault="0047783A" w:rsidP="00E700D5">
      <w:pPr>
        <w:pStyle w:val="Heading1"/>
        <w:rPr>
          <w:sz w:val="22"/>
          <w:szCs w:val="22"/>
        </w:rPr>
      </w:pPr>
      <w:bookmarkStart w:id="9" w:name="_Toc42488075"/>
      <w:proofErr w:type="spellStart"/>
      <w:r w:rsidRPr="00C76C92">
        <w:rPr>
          <w:sz w:val="22"/>
          <w:szCs w:val="22"/>
        </w:rPr>
        <w:t>Currency</w:t>
      </w:r>
      <w:bookmarkEnd w:id="9"/>
      <w:proofErr w:type="spellEnd"/>
    </w:p>
    <w:p w14:paraId="3240CD44" w14:textId="347C91F6" w:rsidR="0047783A" w:rsidRPr="00C76C92" w:rsidRDefault="0047783A" w:rsidP="0047783A">
      <w:pPr>
        <w:pStyle w:val="Heading2"/>
        <w:keepNext w:val="0"/>
        <w:ind w:left="567"/>
        <w:jc w:val="both"/>
        <w:rPr>
          <w:rFonts w:ascii="Times New Roman" w:hAnsi="Times New Roman"/>
          <w:bCs/>
          <w:sz w:val="22"/>
          <w:szCs w:val="22"/>
          <w:lang w:val="en-GB"/>
        </w:rPr>
      </w:pPr>
      <w:r w:rsidRPr="00C76C92">
        <w:rPr>
          <w:rFonts w:ascii="Times New Roman" w:hAnsi="Times New Roman"/>
          <w:sz w:val="22"/>
          <w:szCs w:val="22"/>
          <w:lang w:val="en-GB"/>
        </w:rPr>
        <w:t xml:space="preserve">Tenders must be presented in </w:t>
      </w:r>
      <w:r w:rsidR="009205DE" w:rsidRPr="009205DE">
        <w:rPr>
          <w:rFonts w:ascii="Times New Roman" w:hAnsi="Times New Roman"/>
          <w:b/>
          <w:sz w:val="22"/>
          <w:szCs w:val="22"/>
          <w:lang w:val="en-GB"/>
        </w:rPr>
        <w:t>RSD</w:t>
      </w:r>
      <w:r w:rsidR="00904D27" w:rsidRPr="00C76C92">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0" w:name="_Toc42488076"/>
      <w:r w:rsidRPr="00E82463">
        <w:t>Lots</w:t>
      </w:r>
      <w:bookmarkEnd w:id="10"/>
    </w:p>
    <w:p w14:paraId="5AF2BA2C" w14:textId="5BB1EE74" w:rsidR="0047783A" w:rsidRPr="00406BD6" w:rsidRDefault="0047783A" w:rsidP="00E82463">
      <w:pPr>
        <w:pStyle w:val="Heading2"/>
        <w:keepNext w:val="0"/>
        <w:ind w:left="567" w:hanging="567"/>
        <w:jc w:val="both"/>
        <w:rPr>
          <w:rFonts w:ascii="Times New Roman" w:hAnsi="Times New Roman"/>
          <w:sz w:val="22"/>
          <w:lang w:val="en-GB"/>
        </w:rPr>
      </w:pPr>
      <w:r w:rsidRPr="00406BD6">
        <w:rPr>
          <w:rFonts w:ascii="Times New Roman" w:hAnsi="Times New Roman"/>
          <w:sz w:val="22"/>
          <w:lang w:val="en-GB"/>
        </w:rPr>
        <w:t>7.1</w:t>
      </w:r>
      <w:r w:rsidRPr="00406BD6">
        <w:rPr>
          <w:rFonts w:ascii="Times New Roman" w:hAnsi="Times New Roman"/>
          <w:sz w:val="22"/>
          <w:lang w:val="en-GB"/>
        </w:rPr>
        <w:tab/>
        <w:t>The tenderer may submit a tender for one lot, several or all of the lots.</w:t>
      </w:r>
    </w:p>
    <w:p w14:paraId="2CDD2219" w14:textId="77777777" w:rsidR="0047783A" w:rsidRPr="00406BD6" w:rsidRDefault="0047783A" w:rsidP="00E82463">
      <w:pPr>
        <w:pStyle w:val="Heading2"/>
        <w:keepNext w:val="0"/>
        <w:ind w:left="567" w:hanging="567"/>
        <w:jc w:val="both"/>
        <w:rPr>
          <w:rFonts w:ascii="Times New Roman" w:hAnsi="Times New Roman"/>
          <w:lang w:val="en-GB"/>
        </w:rPr>
      </w:pPr>
      <w:r w:rsidRPr="00406BD6">
        <w:rPr>
          <w:rFonts w:ascii="Times New Roman" w:hAnsi="Times New Roman"/>
          <w:sz w:val="22"/>
          <w:lang w:val="en-GB"/>
        </w:rPr>
        <w:lastRenderedPageBreak/>
        <w:t>7.2</w:t>
      </w:r>
      <w:r w:rsidRPr="00406BD6">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406BD6">
        <w:rPr>
          <w:rFonts w:ascii="Times New Roman" w:hAnsi="Times New Roman"/>
          <w:sz w:val="22"/>
          <w:lang w:val="en-GB"/>
        </w:rPr>
        <w:t xml:space="preserve">be considered </w:t>
      </w:r>
      <w:r w:rsidRPr="00406BD6">
        <w:rPr>
          <w:rFonts w:ascii="Times New Roman" w:hAnsi="Times New Roman"/>
          <w:sz w:val="22"/>
          <w:lang w:val="en-GB"/>
        </w:rPr>
        <w:t>for part of the quantities required. If the tenderer is awarded more than one lot, a single contract may be concluded covering all those lots.</w:t>
      </w:r>
    </w:p>
    <w:p w14:paraId="3A71D314" w14:textId="77777777" w:rsidR="0047783A" w:rsidRPr="00406BD6" w:rsidRDefault="0047783A" w:rsidP="00E82463">
      <w:pPr>
        <w:pStyle w:val="Heading2"/>
        <w:keepNext w:val="0"/>
        <w:ind w:left="567" w:hanging="567"/>
        <w:jc w:val="both"/>
        <w:rPr>
          <w:rFonts w:ascii="Times New Roman" w:hAnsi="Times New Roman"/>
          <w:sz w:val="22"/>
          <w:lang w:val="en-GB"/>
        </w:rPr>
      </w:pPr>
      <w:r w:rsidRPr="00406BD6">
        <w:rPr>
          <w:rFonts w:ascii="Times New Roman" w:hAnsi="Times New Roman"/>
          <w:sz w:val="22"/>
          <w:lang w:val="en-GB"/>
        </w:rPr>
        <w:t>7.3</w:t>
      </w:r>
      <w:r w:rsidRPr="00406BD6">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61A1419A" w:rsidR="0047783A" w:rsidRPr="00E82463" w:rsidRDefault="0047783A" w:rsidP="00E82463">
      <w:pPr>
        <w:pStyle w:val="Heading2"/>
        <w:keepNext w:val="0"/>
        <w:ind w:left="567" w:hanging="567"/>
        <w:jc w:val="both"/>
        <w:rPr>
          <w:rFonts w:ascii="Times New Roman" w:hAnsi="Times New Roman"/>
          <w:lang w:val="en-GB"/>
        </w:rPr>
      </w:pPr>
      <w:r w:rsidRPr="00406BD6">
        <w:rPr>
          <w:rFonts w:ascii="Times New Roman" w:hAnsi="Times New Roman"/>
          <w:sz w:val="22"/>
          <w:szCs w:val="22"/>
          <w:lang w:val="en-GB"/>
        </w:rPr>
        <w:t>7.4</w:t>
      </w:r>
      <w:r w:rsidRPr="00406BD6">
        <w:rPr>
          <w:rFonts w:ascii="Times New Roman" w:hAnsi="Times New Roman"/>
          <w:sz w:val="22"/>
          <w:szCs w:val="22"/>
          <w:lang w:val="en-GB"/>
        </w:rPr>
        <w:tab/>
        <w:t xml:space="preserve">Contracts will be awarded lot by lot, but the </w:t>
      </w:r>
      <w:r w:rsidR="003A5B8F" w:rsidRPr="00406BD6">
        <w:rPr>
          <w:rFonts w:ascii="Times New Roman" w:hAnsi="Times New Roman"/>
          <w:sz w:val="22"/>
          <w:szCs w:val="22"/>
          <w:lang w:val="en-GB"/>
        </w:rPr>
        <w:t>Project partner</w:t>
      </w:r>
      <w:r w:rsidRPr="00406BD6">
        <w:rPr>
          <w:rFonts w:ascii="Times New Roman" w:hAnsi="Times New Roman"/>
          <w:sz w:val="22"/>
          <w:szCs w:val="22"/>
          <w:lang w:val="en-GB"/>
        </w:rPr>
        <w:t xml:space="preserve"> may select the most favourable overall solution after taking account of any discounts offered</w:t>
      </w:r>
      <w:r w:rsidR="00406BD6" w:rsidRPr="00406BD6">
        <w:rPr>
          <w:rFonts w:ascii="Times New Roman" w:hAnsi="Times New Roman"/>
          <w:lang w:val="en-GB"/>
        </w:rPr>
        <w:t>.</w:t>
      </w:r>
    </w:p>
    <w:p w14:paraId="20D2B8A4" w14:textId="77777777" w:rsidR="0047783A" w:rsidRPr="00E82463" w:rsidRDefault="0047783A" w:rsidP="00E700D5">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7439DA72" w14:textId="77ADD73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w:t>
      </w:r>
      <w:r w:rsidRPr="00406BD6">
        <w:rPr>
          <w:rFonts w:ascii="Times New Roman" w:hAnsi="Times New Roman"/>
          <w:sz w:val="22"/>
          <w:lang w:val="en-GB"/>
        </w:rPr>
        <w:t>is English</w:t>
      </w:r>
      <w:r w:rsidR="00572412" w:rsidRPr="00406BD6">
        <w:rPr>
          <w:rFonts w:ascii="Times New Roman" w:hAnsi="Times New Roman"/>
          <w:sz w:val="22"/>
          <w:lang w:val="en-GB"/>
        </w:rPr>
        <w:t>.</w:t>
      </w:r>
    </w:p>
    <w:p w14:paraId="5ADCEDC3" w14:textId="62BCED08" w:rsidR="00452496" w:rsidRPr="00406BD6" w:rsidRDefault="00452496" w:rsidP="008B6A30">
      <w:pPr>
        <w:pStyle w:val="Heading2"/>
        <w:keepNext w:val="0"/>
        <w:widowControl w:val="0"/>
        <w:ind w:left="567"/>
        <w:jc w:val="both"/>
        <w:rPr>
          <w:rFonts w:ascii="Times New Roman" w:hAnsi="Times New Roman"/>
          <w:sz w:val="22"/>
          <w:szCs w:val="22"/>
          <w:lang w:val="en-GB"/>
        </w:rPr>
      </w:pPr>
      <w:r w:rsidRPr="00406BD6">
        <w:rPr>
          <w:rStyle w:val="Emphasis"/>
          <w:rFonts w:ascii="Times New Roman" w:hAnsi="Times New Roman"/>
          <w:i w:val="0"/>
          <w:sz w:val="22"/>
          <w:szCs w:val="22"/>
          <w:lang w:val="en-GB"/>
        </w:rPr>
        <w:t xml:space="preserve">Relevant experience (selection criteria) may be described in </w:t>
      </w:r>
      <w:r w:rsidR="00406BD6" w:rsidRPr="00406BD6">
        <w:rPr>
          <w:rStyle w:val="Emphasis"/>
          <w:rFonts w:ascii="Times New Roman" w:hAnsi="Times New Roman"/>
          <w:i w:val="0"/>
          <w:sz w:val="22"/>
          <w:szCs w:val="22"/>
          <w:lang w:val="en-GB"/>
        </w:rPr>
        <w:t>Serbian</w:t>
      </w:r>
      <w:r w:rsidRPr="00406BD6">
        <w:rPr>
          <w:rStyle w:val="Emphasis"/>
          <w:rFonts w:ascii="Times New Roman" w:hAnsi="Times New Roman"/>
          <w:i w:val="0"/>
          <w:sz w:val="22"/>
          <w:szCs w:val="22"/>
          <w:lang w:val="en-GB"/>
        </w:rPr>
        <w:t xml:space="preserve"> language. </w:t>
      </w:r>
    </w:p>
    <w:p w14:paraId="689A4766" w14:textId="3563B2C2" w:rsidR="00452496" w:rsidRPr="008B6A30" w:rsidRDefault="00452496" w:rsidP="008B6A30">
      <w:pPr>
        <w:pStyle w:val="Heading2"/>
        <w:keepNext w:val="0"/>
        <w:widowControl w:val="0"/>
        <w:ind w:left="567"/>
        <w:jc w:val="both"/>
        <w:rPr>
          <w:rFonts w:ascii="Times New Roman" w:hAnsi="Times New Roman"/>
          <w:sz w:val="22"/>
          <w:szCs w:val="22"/>
          <w:lang w:val="en-GB"/>
        </w:rPr>
      </w:pPr>
      <w:r w:rsidRPr="00406BD6">
        <w:rPr>
          <w:rFonts w:ascii="Times New Roman" w:hAnsi="Times New Roman"/>
          <w:sz w:val="22"/>
          <w:szCs w:val="22"/>
          <w:lang w:val="en-GB"/>
        </w:rPr>
        <w:t xml:space="preserve">Supporting documents and printed literature furnished by the tenderer may be in </w:t>
      </w:r>
      <w:r w:rsidR="00406BD6" w:rsidRPr="00406BD6">
        <w:rPr>
          <w:rStyle w:val="Emphasis"/>
          <w:rFonts w:ascii="Times New Roman" w:hAnsi="Times New Roman"/>
          <w:i w:val="0"/>
          <w:sz w:val="22"/>
          <w:szCs w:val="22"/>
          <w:lang w:val="en-GB"/>
        </w:rPr>
        <w:t>Serbian</w:t>
      </w:r>
      <w:r w:rsidRPr="00406BD6">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4005F106" w14:textId="778D45C0" w:rsidR="0047783A" w:rsidRDefault="00A35457" w:rsidP="00A35457">
      <w:pPr>
        <w:spacing w:before="0" w:after="0"/>
        <w:ind w:left="562"/>
        <w:jc w:val="both"/>
        <w:rPr>
          <w:rFonts w:ascii="Times New Roman" w:hAnsi="Times New Roman"/>
          <w:b/>
          <w:sz w:val="22"/>
        </w:rPr>
      </w:pPr>
      <w:r>
        <w:rPr>
          <w:rFonts w:ascii="Times New Roman" w:hAnsi="Times New Roman"/>
          <w:b/>
          <w:sz w:val="22"/>
        </w:rPr>
        <w:t>University of Novi Sad</w:t>
      </w:r>
    </w:p>
    <w:p w14:paraId="54666714" w14:textId="006014E5" w:rsidR="00A35457" w:rsidRDefault="009E08EC" w:rsidP="00A35457">
      <w:pPr>
        <w:spacing w:before="0" w:after="0"/>
        <w:ind w:left="562"/>
        <w:jc w:val="both"/>
        <w:rPr>
          <w:rFonts w:ascii="Times New Roman" w:hAnsi="Times New Roman"/>
          <w:b/>
          <w:sz w:val="22"/>
        </w:rPr>
      </w:pPr>
      <w:proofErr w:type="spellStart"/>
      <w:r>
        <w:rPr>
          <w:rFonts w:ascii="Times New Roman" w:hAnsi="Times New Roman"/>
          <w:b/>
          <w:sz w:val="22"/>
        </w:rPr>
        <w:lastRenderedPageBreak/>
        <w:t>Insitute</w:t>
      </w:r>
      <w:proofErr w:type="spellEnd"/>
      <w:r>
        <w:rPr>
          <w:rFonts w:ascii="Times New Roman" w:hAnsi="Times New Roman"/>
          <w:b/>
          <w:sz w:val="22"/>
        </w:rPr>
        <w:t xml:space="preserve"> of Food Technology</w:t>
      </w:r>
    </w:p>
    <w:p w14:paraId="3BC25EDD" w14:textId="0F8F67CE" w:rsidR="00A35457" w:rsidRDefault="009E08EC" w:rsidP="00A35457">
      <w:pPr>
        <w:spacing w:before="0" w:after="0"/>
        <w:ind w:left="562"/>
        <w:jc w:val="both"/>
        <w:rPr>
          <w:rFonts w:ascii="Times New Roman" w:hAnsi="Times New Roman"/>
          <w:b/>
          <w:sz w:val="22"/>
        </w:rPr>
      </w:pPr>
      <w:proofErr w:type="spellStart"/>
      <w:r>
        <w:rPr>
          <w:rFonts w:ascii="Times New Roman" w:hAnsi="Times New Roman"/>
          <w:b/>
          <w:sz w:val="22"/>
        </w:rPr>
        <w:t>Bulevar</w:t>
      </w:r>
      <w:proofErr w:type="spellEnd"/>
      <w:r>
        <w:rPr>
          <w:rFonts w:ascii="Times New Roman" w:hAnsi="Times New Roman"/>
          <w:b/>
          <w:sz w:val="22"/>
        </w:rPr>
        <w:t xml:space="preserve"> </w:t>
      </w:r>
      <w:proofErr w:type="spellStart"/>
      <w:proofErr w:type="gramStart"/>
      <w:r>
        <w:rPr>
          <w:rFonts w:ascii="Times New Roman" w:hAnsi="Times New Roman"/>
          <w:b/>
          <w:sz w:val="22"/>
        </w:rPr>
        <w:t>cara</w:t>
      </w:r>
      <w:proofErr w:type="spellEnd"/>
      <w:proofErr w:type="gramEnd"/>
      <w:r>
        <w:rPr>
          <w:rFonts w:ascii="Times New Roman" w:hAnsi="Times New Roman"/>
          <w:b/>
          <w:sz w:val="22"/>
        </w:rPr>
        <w:t xml:space="preserve"> </w:t>
      </w:r>
      <w:proofErr w:type="spellStart"/>
      <w:r>
        <w:rPr>
          <w:rFonts w:ascii="Times New Roman" w:hAnsi="Times New Roman"/>
          <w:b/>
          <w:sz w:val="22"/>
        </w:rPr>
        <w:t>Lazara</w:t>
      </w:r>
      <w:proofErr w:type="spellEnd"/>
      <w:r>
        <w:rPr>
          <w:rFonts w:ascii="Times New Roman" w:hAnsi="Times New Roman"/>
          <w:b/>
          <w:sz w:val="22"/>
        </w:rPr>
        <w:t xml:space="preserve"> 1</w:t>
      </w:r>
    </w:p>
    <w:p w14:paraId="0A4ED8A1" w14:textId="038296B8" w:rsidR="00A35457" w:rsidRDefault="009E08EC" w:rsidP="00A35457">
      <w:pPr>
        <w:spacing w:before="0" w:after="0"/>
        <w:ind w:left="562"/>
        <w:jc w:val="both"/>
        <w:rPr>
          <w:rFonts w:ascii="Times New Roman" w:hAnsi="Times New Roman"/>
          <w:b/>
          <w:sz w:val="22"/>
        </w:rPr>
      </w:pPr>
      <w:r>
        <w:rPr>
          <w:rFonts w:ascii="Times New Roman" w:hAnsi="Times New Roman"/>
          <w:b/>
          <w:sz w:val="22"/>
        </w:rPr>
        <w:t xml:space="preserve">21102 </w:t>
      </w:r>
      <w:r w:rsidR="00A35457">
        <w:rPr>
          <w:rFonts w:ascii="Times New Roman" w:hAnsi="Times New Roman"/>
          <w:b/>
          <w:sz w:val="22"/>
        </w:rPr>
        <w:t>Novi Sad</w:t>
      </w:r>
    </w:p>
    <w:p w14:paraId="3CFAF07F" w14:textId="2F58214C" w:rsidR="00A35457" w:rsidRPr="00A35457" w:rsidRDefault="009E08EC" w:rsidP="00A35457">
      <w:pPr>
        <w:spacing w:before="0" w:after="0"/>
        <w:ind w:left="562"/>
        <w:jc w:val="both"/>
        <w:rPr>
          <w:rFonts w:ascii="Times New Roman" w:hAnsi="Times New Roman"/>
          <w:b/>
          <w:sz w:val="22"/>
        </w:rPr>
      </w:pPr>
      <w:r>
        <w:rPr>
          <w:rFonts w:ascii="Times New Roman" w:hAnsi="Times New Roman"/>
          <w:b/>
          <w:sz w:val="22"/>
        </w:rPr>
        <w:t xml:space="preserve">Dr </w:t>
      </w:r>
      <w:proofErr w:type="spellStart"/>
      <w:r>
        <w:rPr>
          <w:rFonts w:ascii="Times New Roman" w:hAnsi="Times New Roman"/>
          <w:b/>
          <w:sz w:val="22"/>
        </w:rPr>
        <w:t>Ljubiša</w:t>
      </w:r>
      <w:proofErr w:type="spellEnd"/>
      <w:r>
        <w:rPr>
          <w:rFonts w:ascii="Times New Roman" w:hAnsi="Times New Roman"/>
          <w:b/>
          <w:sz w:val="22"/>
        </w:rPr>
        <w:t xml:space="preserve"> </w:t>
      </w:r>
      <w:proofErr w:type="spellStart"/>
      <w:r>
        <w:rPr>
          <w:rFonts w:ascii="Times New Roman" w:hAnsi="Times New Roman"/>
          <w:b/>
          <w:sz w:val="22"/>
        </w:rPr>
        <w:t>Šarić</w:t>
      </w:r>
      <w:proofErr w:type="spellEnd"/>
      <w:r>
        <w:rPr>
          <w:rFonts w:ascii="Times New Roman" w:hAnsi="Times New Roman"/>
          <w:b/>
          <w:sz w:val="22"/>
        </w:rPr>
        <w:t>, Director</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715EC60E" w14:textId="77777777" w:rsidR="009E08EC" w:rsidRDefault="009E08EC" w:rsidP="009E08EC">
      <w:pPr>
        <w:spacing w:before="0" w:after="0"/>
        <w:ind w:left="562"/>
        <w:jc w:val="both"/>
        <w:rPr>
          <w:rFonts w:ascii="Times New Roman" w:hAnsi="Times New Roman"/>
          <w:b/>
          <w:sz w:val="22"/>
        </w:rPr>
      </w:pPr>
      <w:r>
        <w:rPr>
          <w:rFonts w:ascii="Times New Roman" w:hAnsi="Times New Roman"/>
          <w:b/>
          <w:sz w:val="22"/>
        </w:rPr>
        <w:t>University of Novi Sad</w:t>
      </w:r>
    </w:p>
    <w:p w14:paraId="5BE10B42" w14:textId="77777777" w:rsidR="009E08EC" w:rsidRDefault="009E08EC" w:rsidP="009E08EC">
      <w:pPr>
        <w:spacing w:before="0" w:after="0"/>
        <w:ind w:left="562"/>
        <w:jc w:val="both"/>
        <w:rPr>
          <w:rFonts w:ascii="Times New Roman" w:hAnsi="Times New Roman"/>
          <w:b/>
          <w:sz w:val="22"/>
        </w:rPr>
      </w:pPr>
      <w:proofErr w:type="spellStart"/>
      <w:r>
        <w:rPr>
          <w:rFonts w:ascii="Times New Roman" w:hAnsi="Times New Roman"/>
          <w:b/>
          <w:sz w:val="22"/>
        </w:rPr>
        <w:t>Insitute</w:t>
      </w:r>
      <w:proofErr w:type="spellEnd"/>
      <w:r>
        <w:rPr>
          <w:rFonts w:ascii="Times New Roman" w:hAnsi="Times New Roman"/>
          <w:b/>
          <w:sz w:val="22"/>
        </w:rPr>
        <w:t xml:space="preserve"> of Food Technology</w:t>
      </w:r>
    </w:p>
    <w:p w14:paraId="6379CCB3" w14:textId="77777777" w:rsidR="009E08EC" w:rsidRDefault="009E08EC" w:rsidP="009E08EC">
      <w:pPr>
        <w:spacing w:before="0" w:after="0"/>
        <w:ind w:left="562"/>
        <w:jc w:val="both"/>
        <w:rPr>
          <w:rFonts w:ascii="Times New Roman" w:hAnsi="Times New Roman"/>
          <w:b/>
          <w:sz w:val="22"/>
        </w:rPr>
      </w:pPr>
      <w:proofErr w:type="spellStart"/>
      <w:r>
        <w:rPr>
          <w:rFonts w:ascii="Times New Roman" w:hAnsi="Times New Roman"/>
          <w:b/>
          <w:sz w:val="22"/>
        </w:rPr>
        <w:t>Bulevar</w:t>
      </w:r>
      <w:proofErr w:type="spellEnd"/>
      <w:r>
        <w:rPr>
          <w:rFonts w:ascii="Times New Roman" w:hAnsi="Times New Roman"/>
          <w:b/>
          <w:sz w:val="22"/>
        </w:rPr>
        <w:t xml:space="preserve"> </w:t>
      </w:r>
      <w:proofErr w:type="spellStart"/>
      <w:proofErr w:type="gramStart"/>
      <w:r>
        <w:rPr>
          <w:rFonts w:ascii="Times New Roman" w:hAnsi="Times New Roman"/>
          <w:b/>
          <w:sz w:val="22"/>
        </w:rPr>
        <w:t>cara</w:t>
      </w:r>
      <w:proofErr w:type="spellEnd"/>
      <w:proofErr w:type="gramEnd"/>
      <w:r>
        <w:rPr>
          <w:rFonts w:ascii="Times New Roman" w:hAnsi="Times New Roman"/>
          <w:b/>
          <w:sz w:val="22"/>
        </w:rPr>
        <w:t xml:space="preserve"> </w:t>
      </w:r>
      <w:proofErr w:type="spellStart"/>
      <w:r>
        <w:rPr>
          <w:rFonts w:ascii="Times New Roman" w:hAnsi="Times New Roman"/>
          <w:b/>
          <w:sz w:val="22"/>
        </w:rPr>
        <w:t>Lazara</w:t>
      </w:r>
      <w:proofErr w:type="spellEnd"/>
      <w:r>
        <w:rPr>
          <w:rFonts w:ascii="Times New Roman" w:hAnsi="Times New Roman"/>
          <w:b/>
          <w:sz w:val="22"/>
        </w:rPr>
        <w:t xml:space="preserve"> 1</w:t>
      </w:r>
    </w:p>
    <w:p w14:paraId="52AED42E" w14:textId="77777777" w:rsidR="009E08EC" w:rsidRDefault="009E08EC" w:rsidP="009E08EC">
      <w:pPr>
        <w:spacing w:before="0" w:after="0"/>
        <w:ind w:left="562"/>
        <w:jc w:val="both"/>
        <w:rPr>
          <w:rFonts w:ascii="Times New Roman" w:hAnsi="Times New Roman"/>
          <w:b/>
          <w:sz w:val="22"/>
        </w:rPr>
      </w:pPr>
      <w:r>
        <w:rPr>
          <w:rFonts w:ascii="Times New Roman" w:hAnsi="Times New Roman"/>
          <w:b/>
          <w:sz w:val="22"/>
        </w:rPr>
        <w:t>21102 Novi Sad</w:t>
      </w:r>
    </w:p>
    <w:p w14:paraId="71AD58C5" w14:textId="0A869EAC" w:rsidR="0047783A" w:rsidRPr="009E08EC" w:rsidRDefault="009E08EC" w:rsidP="009E08EC">
      <w:pPr>
        <w:spacing w:before="0" w:after="0"/>
        <w:ind w:left="562"/>
        <w:jc w:val="both"/>
        <w:rPr>
          <w:rFonts w:ascii="Times New Roman" w:hAnsi="Times New Roman"/>
          <w:b/>
          <w:sz w:val="22"/>
        </w:rPr>
      </w:pPr>
      <w:r>
        <w:rPr>
          <w:rFonts w:ascii="Times New Roman" w:hAnsi="Times New Roman"/>
          <w:b/>
          <w:sz w:val="22"/>
        </w:rPr>
        <w:t xml:space="preserve">Dr </w:t>
      </w:r>
      <w:proofErr w:type="spellStart"/>
      <w:r>
        <w:rPr>
          <w:rFonts w:ascii="Times New Roman" w:hAnsi="Times New Roman"/>
          <w:b/>
          <w:sz w:val="22"/>
        </w:rPr>
        <w:t>Ljubiša</w:t>
      </w:r>
      <w:proofErr w:type="spellEnd"/>
      <w:r>
        <w:rPr>
          <w:rFonts w:ascii="Times New Roman" w:hAnsi="Times New Roman"/>
          <w:b/>
          <w:sz w:val="22"/>
        </w:rPr>
        <w:t xml:space="preserve"> </w:t>
      </w:r>
      <w:proofErr w:type="spellStart"/>
      <w:r>
        <w:rPr>
          <w:rFonts w:ascii="Times New Roman" w:hAnsi="Times New Roman"/>
          <w:b/>
          <w:sz w:val="22"/>
        </w:rPr>
        <w:t>Šarić</w:t>
      </w:r>
      <w:proofErr w:type="spellEnd"/>
      <w:r>
        <w:rPr>
          <w:rFonts w:ascii="Times New Roman" w:hAnsi="Times New Roman"/>
          <w:b/>
          <w:sz w:val="22"/>
        </w:rPr>
        <w:t>, Director</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557134D" w14:textId="2AEDFD77" w:rsidR="006D2535" w:rsidRPr="009205DE" w:rsidRDefault="0047783A" w:rsidP="009205DE">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7A626C">
        <w:rPr>
          <w:rFonts w:ascii="Times New Roman" w:hAnsi="Times New Roman"/>
          <w:sz w:val="22"/>
          <w:lang w:val="en-GB"/>
        </w:rPr>
        <w:t>1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688C4304" w14:textId="4BE7AEC9"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223E29">
        <w:rPr>
          <w:rFonts w:ascii="Times New Roman" w:hAnsi="Times New Roman"/>
          <w:b/>
          <w:sz w:val="22"/>
          <w:lang w:val="en-GB"/>
        </w:rPr>
        <w:t>University of Novi Sad,</w:t>
      </w:r>
      <w:r w:rsidR="009E08EC">
        <w:rPr>
          <w:rFonts w:ascii="Times New Roman" w:hAnsi="Times New Roman"/>
          <w:b/>
          <w:sz w:val="22"/>
          <w:lang w:val="en-GB"/>
        </w:rPr>
        <w:t xml:space="preserve"> Institute of Food Technology, </w:t>
      </w:r>
      <w:proofErr w:type="spellStart"/>
      <w:r w:rsidR="009E08EC">
        <w:rPr>
          <w:rFonts w:ascii="Times New Roman" w:hAnsi="Times New Roman"/>
          <w:b/>
          <w:sz w:val="22"/>
          <w:lang w:val="en-GB"/>
        </w:rPr>
        <w:t>Bulevar</w:t>
      </w:r>
      <w:proofErr w:type="spellEnd"/>
      <w:r w:rsidR="009E08EC">
        <w:rPr>
          <w:rFonts w:ascii="Times New Roman" w:hAnsi="Times New Roman"/>
          <w:b/>
          <w:sz w:val="22"/>
          <w:lang w:val="en-GB"/>
        </w:rPr>
        <w:t xml:space="preserve"> </w:t>
      </w:r>
      <w:proofErr w:type="spellStart"/>
      <w:r w:rsidR="009E08EC">
        <w:rPr>
          <w:rFonts w:ascii="Times New Roman" w:hAnsi="Times New Roman"/>
          <w:b/>
          <w:sz w:val="22"/>
          <w:lang w:val="en-GB"/>
        </w:rPr>
        <w:t>cara</w:t>
      </w:r>
      <w:proofErr w:type="spellEnd"/>
      <w:r w:rsidR="009E08EC">
        <w:rPr>
          <w:rFonts w:ascii="Times New Roman" w:hAnsi="Times New Roman"/>
          <w:b/>
          <w:sz w:val="22"/>
          <w:lang w:val="en-GB"/>
        </w:rPr>
        <w:t xml:space="preserve"> </w:t>
      </w:r>
      <w:proofErr w:type="spellStart"/>
      <w:r w:rsidR="009E08EC">
        <w:rPr>
          <w:rFonts w:ascii="Times New Roman" w:hAnsi="Times New Roman"/>
          <w:b/>
          <w:sz w:val="22"/>
          <w:lang w:val="en-GB"/>
        </w:rPr>
        <w:t>Lazara</w:t>
      </w:r>
      <w:proofErr w:type="spellEnd"/>
      <w:r w:rsidR="009E08EC">
        <w:rPr>
          <w:rFonts w:ascii="Times New Roman" w:hAnsi="Times New Roman"/>
          <w:b/>
          <w:sz w:val="22"/>
          <w:lang w:val="en-GB"/>
        </w:rPr>
        <w:t xml:space="preserve"> 1, I floor,</w:t>
      </w:r>
      <w:r w:rsidR="00223E29">
        <w:rPr>
          <w:rFonts w:ascii="Times New Roman" w:hAnsi="Times New Roman"/>
          <w:b/>
          <w:sz w:val="22"/>
          <w:lang w:val="en-GB"/>
        </w:rPr>
        <w:t xml:space="preserve"> </w:t>
      </w:r>
      <w:r w:rsidR="009E08EC">
        <w:rPr>
          <w:rFonts w:ascii="Times New Roman" w:hAnsi="Times New Roman"/>
          <w:b/>
          <w:sz w:val="22"/>
          <w:lang w:val="en-GB"/>
        </w:rPr>
        <w:t xml:space="preserve">21102 </w:t>
      </w:r>
      <w:r w:rsidR="00223E29">
        <w:rPr>
          <w:rFonts w:ascii="Times New Roman" w:hAnsi="Times New Roman"/>
          <w:b/>
          <w:sz w:val="22"/>
          <w:lang w:val="en-GB"/>
        </w:rPr>
        <w:t>Novi Sad</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7A626C">
        <w:rPr>
          <w:rFonts w:ascii="Times New Roman" w:hAnsi="Times New Roman"/>
          <w:b/>
          <w:sz w:val="22"/>
          <w:lang w:val="en-GB"/>
        </w:rPr>
        <w:t xml:space="preserve">April </w:t>
      </w:r>
      <w:r w:rsidR="009E08EC">
        <w:rPr>
          <w:rFonts w:ascii="Times New Roman" w:hAnsi="Times New Roman"/>
          <w:b/>
          <w:sz w:val="22"/>
          <w:lang w:val="en-GB"/>
        </w:rPr>
        <w:t>2</w:t>
      </w:r>
      <w:r w:rsidR="007A626C">
        <w:rPr>
          <w:rFonts w:ascii="Times New Roman" w:hAnsi="Times New Roman"/>
          <w:b/>
          <w:sz w:val="22"/>
          <w:lang w:val="en-GB"/>
        </w:rPr>
        <w:t>1</w:t>
      </w:r>
      <w:r w:rsidR="007A626C">
        <w:rPr>
          <w:rFonts w:ascii="Times New Roman" w:hAnsi="Times New Roman"/>
          <w:b/>
          <w:sz w:val="22"/>
          <w:vertAlign w:val="superscript"/>
          <w:lang w:val="en-GB"/>
        </w:rPr>
        <w:t>st</w:t>
      </w:r>
      <w:r w:rsidR="009E08EC">
        <w:rPr>
          <w:rFonts w:ascii="Times New Roman" w:hAnsi="Times New Roman"/>
          <w:b/>
          <w:sz w:val="22"/>
          <w:lang w:val="en-GB"/>
        </w:rPr>
        <w:t xml:space="preserve"> 2025</w:t>
      </w:r>
      <w:r w:rsidR="00223E29">
        <w:rPr>
          <w:rFonts w:ascii="Times New Roman" w:hAnsi="Times New Roman"/>
          <w:b/>
          <w:sz w:val="22"/>
          <w:lang w:val="en-GB"/>
        </w:rPr>
        <w:t xml:space="preserve"> at 13:00 local time</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5DFF8843"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9E08EC" w:rsidRPr="009E08EC">
        <w:rPr>
          <w:rFonts w:ascii="Times New Roman" w:hAnsi="Times New Roman"/>
          <w:b/>
        </w:rPr>
        <w:t>HRRS00148-5/laboratory equipment</w:t>
      </w:r>
      <w:r w:rsidRPr="00E82463">
        <w:rPr>
          <w:rFonts w:ascii="Times New Roman" w:hAnsi="Times New Roman"/>
          <w:sz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22605F32"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A35457">
        <w:rPr>
          <w:rFonts w:ascii="Times New Roman" w:hAnsi="Times New Roman"/>
          <w:sz w:val="22"/>
        </w:rPr>
        <w:t>“</w:t>
      </w:r>
      <w:r w:rsidRPr="00E82463">
        <w:rPr>
          <w:rFonts w:ascii="Times New Roman" w:hAnsi="Times New Roman"/>
          <w:sz w:val="22"/>
        </w:rPr>
        <w:t>Not to be opened before the tender opening session</w:t>
      </w:r>
      <w:r w:rsidR="00A35457">
        <w:rPr>
          <w:rFonts w:ascii="Times New Roman" w:hAnsi="Times New Roman"/>
          <w:sz w:val="22"/>
        </w:rPr>
        <w:t>”</w:t>
      </w:r>
      <w:r w:rsidRPr="00E82463">
        <w:rPr>
          <w:rFonts w:ascii="Times New Roman" w:hAnsi="Times New Roman"/>
          <w:sz w:val="22"/>
        </w:rPr>
        <w:t xml:space="preserve"> in the language of the tender dossier and</w:t>
      </w:r>
      <w:r w:rsidR="00A35457">
        <w:rPr>
          <w:rFonts w:ascii="Times New Roman" w:hAnsi="Times New Roman"/>
          <w:sz w:val="22"/>
        </w:rPr>
        <w:t xml:space="preserve"> “</w:t>
      </w:r>
      <w:r w:rsidR="00A35457" w:rsidRPr="00A35457">
        <w:rPr>
          <w:rFonts w:ascii="Times New Roman" w:hAnsi="Times New Roman"/>
          <w:sz w:val="22"/>
        </w:rPr>
        <w:t xml:space="preserve">Ne </w:t>
      </w:r>
      <w:proofErr w:type="spellStart"/>
      <w:r w:rsidR="00A35457" w:rsidRPr="00A35457">
        <w:rPr>
          <w:rFonts w:ascii="Times New Roman" w:hAnsi="Times New Roman"/>
          <w:sz w:val="22"/>
        </w:rPr>
        <w:t>otvarati</w:t>
      </w:r>
      <w:proofErr w:type="spellEnd"/>
      <w:r w:rsidR="00A35457" w:rsidRPr="00A35457">
        <w:rPr>
          <w:rFonts w:ascii="Times New Roman" w:hAnsi="Times New Roman"/>
          <w:sz w:val="22"/>
        </w:rPr>
        <w:t xml:space="preserve"> pre </w:t>
      </w:r>
      <w:proofErr w:type="spellStart"/>
      <w:r w:rsidR="00A35457" w:rsidRPr="00A35457">
        <w:rPr>
          <w:rFonts w:ascii="Times New Roman" w:hAnsi="Times New Roman"/>
          <w:sz w:val="22"/>
        </w:rPr>
        <w:t>sastanka</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za</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otvaranje</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ponuda</w:t>
      </w:r>
      <w:proofErr w:type="spellEnd"/>
      <w:r w:rsidR="00A35457">
        <w:rPr>
          <w:rFonts w:ascii="Times New Roman" w:hAnsi="Times New Roman"/>
          <w:sz w:val="22"/>
        </w:rPr>
        <w:t>”</w:t>
      </w:r>
      <w:r w:rsidRPr="00E82463">
        <w:rPr>
          <w:rFonts w:ascii="Times New Roman" w:hAnsi="Times New Roman"/>
          <w:sz w:val="22"/>
        </w:rPr>
        <w: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5AAE8B69" w14:textId="03F83B47" w:rsidR="006D2535" w:rsidRPr="009205DE" w:rsidRDefault="0047783A" w:rsidP="009205DE">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7" w:name="_Toc42488080"/>
      <w:r w:rsidRPr="00E82463">
        <w:t>Content of tenders</w:t>
      </w:r>
      <w:bookmarkEnd w:id="17"/>
    </w:p>
    <w:p w14:paraId="5A4D4A45" w14:textId="4FA09A5C" w:rsidR="00C76C92" w:rsidRPr="00E82463" w:rsidRDefault="006D4CEC" w:rsidP="009205DE">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75469D4" w14:textId="052E55A5" w:rsidR="0047783A" w:rsidRPr="00406BD6" w:rsidRDefault="0047783A" w:rsidP="00A35457">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7C6CF022" w14:textId="77777777" w:rsidR="0047783A" w:rsidRPr="00E82463" w:rsidRDefault="0047783A" w:rsidP="00A35457">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37D9E6F9" w:rsidR="0047783A" w:rsidRPr="00E82463" w:rsidRDefault="0047783A" w:rsidP="00A35457">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A financial offer calculated on a </w:t>
      </w:r>
      <w:r w:rsidRPr="00406BD6">
        <w:rPr>
          <w:rFonts w:ascii="Times New Roman" w:hAnsi="Times New Roman"/>
          <w:sz w:val="22"/>
          <w:szCs w:val="22"/>
          <w:lang w:val="en-GB"/>
        </w:rPr>
        <w:t>DDP</w:t>
      </w:r>
      <w:r w:rsidRPr="00406BD6">
        <w:rPr>
          <w:rStyle w:val="FootnoteReference"/>
          <w:rFonts w:ascii="Times New Roman" w:hAnsi="Times New Roman"/>
        </w:rPr>
        <w:footnoteReference w:id="1"/>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2E2DA383" w14:textId="77777777" w:rsidR="0047783A" w:rsidRDefault="0047783A" w:rsidP="00A35457">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630C293" w14:textId="77777777" w:rsidR="00A35457" w:rsidRPr="00E82463" w:rsidRDefault="00A35457" w:rsidP="00A35457">
      <w:pPr>
        <w:spacing w:after="0"/>
        <w:ind w:left="567"/>
        <w:jc w:val="both"/>
        <w:rPr>
          <w:rFonts w:ascii="Times New Roman" w:hAnsi="Times New Roman"/>
          <w:sz w:val="22"/>
          <w:szCs w:val="22"/>
        </w:rPr>
      </w:pP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1FE691CC" w14:textId="4D62A3DE" w:rsidR="0047783A" w:rsidRPr="00E82463" w:rsidRDefault="0047783A" w:rsidP="009205DE">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5C354DD8"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F0484A6" w14:textId="4FDB6B4B" w:rsidR="0047783A" w:rsidRPr="00406BD6" w:rsidRDefault="0047783A" w:rsidP="00406BD6">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406BD6">
        <w:rPr>
          <w:rFonts w:ascii="Times New Roman" w:hAnsi="Times New Roman"/>
          <w:color w:val="339966"/>
          <w:sz w:val="22"/>
          <w:szCs w:val="22"/>
        </w:rPr>
        <w:t>.</w:t>
      </w:r>
    </w:p>
    <w:p w14:paraId="237074EC" w14:textId="77777777" w:rsidR="0047783A" w:rsidRPr="00E82463" w:rsidRDefault="0047783A" w:rsidP="00E700D5">
      <w:pPr>
        <w:pStyle w:val="Heading1"/>
      </w:pPr>
      <w:bookmarkStart w:id="18" w:name="_Toc42488081"/>
      <w:r w:rsidRPr="00E82463">
        <w:t xml:space="preserve">Taxes and </w:t>
      </w:r>
      <w:proofErr w:type="spellStart"/>
      <w:r w:rsidRPr="00E82463">
        <w:t>other</w:t>
      </w:r>
      <w:proofErr w:type="spellEnd"/>
      <w:r w:rsidRPr="00E82463">
        <w:t xml:space="preserve"> charges</w:t>
      </w:r>
      <w:bookmarkEnd w:id="18"/>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w:t>
      </w:r>
      <w:proofErr w:type="spellStart"/>
      <w:r w:rsidR="00E700D5">
        <w:rPr>
          <w:rFonts w:ascii="Times New Roman" w:hAnsi="Times New Roman"/>
          <w:sz w:val="22"/>
          <w:szCs w:val="22"/>
        </w:rPr>
        <w:t>can not</w:t>
      </w:r>
      <w:proofErr w:type="spellEnd"/>
      <w:r w:rsidR="00E700D5">
        <w:rPr>
          <w:rFonts w:ascii="Times New Roman" w:hAnsi="Times New Roman"/>
          <w:sz w:val="22"/>
          <w:szCs w:val="22"/>
        </w:rPr>
        <w:t xml:space="preserve">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46BA65C2" w14:textId="4CE04973" w:rsidR="00A35457" w:rsidRPr="00A35457" w:rsidRDefault="0047783A" w:rsidP="00A35457">
      <w:pPr>
        <w:pStyle w:val="BodyText"/>
        <w:spacing w:before="0" w:after="0"/>
        <w:ind w:left="562"/>
        <w:rPr>
          <w:rFonts w:ascii="Times New Roman" w:hAnsi="Times New Roman"/>
          <w:b/>
          <w:sz w:val="22"/>
        </w:rPr>
      </w:pPr>
      <w:r w:rsidRPr="00A35457">
        <w:rPr>
          <w:rFonts w:ascii="Times New Roman" w:hAnsi="Times New Roman"/>
          <w:sz w:val="22"/>
        </w:rPr>
        <w:t>Contact name</w:t>
      </w:r>
      <w:r w:rsidR="00A35457" w:rsidRPr="00A35457">
        <w:rPr>
          <w:rFonts w:ascii="Times New Roman" w:hAnsi="Times New Roman"/>
          <w:sz w:val="22"/>
        </w:rPr>
        <w:t xml:space="preserve">: </w:t>
      </w:r>
      <w:r w:rsidR="009E08EC">
        <w:rPr>
          <w:rFonts w:ascii="Times New Roman" w:hAnsi="Times New Roman"/>
          <w:b/>
          <w:sz w:val="22"/>
        </w:rPr>
        <w:t xml:space="preserve">Dr </w:t>
      </w:r>
      <w:proofErr w:type="spellStart"/>
      <w:r w:rsidR="009E08EC">
        <w:rPr>
          <w:rFonts w:ascii="Times New Roman" w:hAnsi="Times New Roman"/>
          <w:b/>
          <w:sz w:val="22"/>
        </w:rPr>
        <w:t>Ljubiša</w:t>
      </w:r>
      <w:proofErr w:type="spellEnd"/>
      <w:r w:rsidR="009E08EC">
        <w:rPr>
          <w:rFonts w:ascii="Times New Roman" w:hAnsi="Times New Roman"/>
          <w:b/>
          <w:sz w:val="22"/>
        </w:rPr>
        <w:t xml:space="preserve"> </w:t>
      </w:r>
      <w:proofErr w:type="spellStart"/>
      <w:r w:rsidR="009E08EC">
        <w:rPr>
          <w:rFonts w:ascii="Times New Roman" w:hAnsi="Times New Roman"/>
          <w:b/>
          <w:sz w:val="22"/>
        </w:rPr>
        <w:t>Šarić</w:t>
      </w:r>
      <w:proofErr w:type="spellEnd"/>
      <w:r w:rsidR="009E08EC">
        <w:rPr>
          <w:rFonts w:ascii="Times New Roman" w:hAnsi="Times New Roman"/>
          <w:b/>
          <w:sz w:val="22"/>
        </w:rPr>
        <w:t>, Director</w:t>
      </w:r>
      <w:r w:rsidRPr="00A35457">
        <w:rPr>
          <w:rFonts w:ascii="Times New Roman" w:hAnsi="Times New Roman"/>
          <w:b/>
          <w:sz w:val="22"/>
        </w:rPr>
        <w:br/>
      </w:r>
      <w:r w:rsidR="00A35457" w:rsidRPr="00A35457">
        <w:rPr>
          <w:rFonts w:ascii="Times New Roman" w:hAnsi="Times New Roman"/>
          <w:b/>
          <w:sz w:val="22"/>
        </w:rPr>
        <w:t xml:space="preserve">                        University of Novi Sad, </w:t>
      </w:r>
      <w:r w:rsidR="009E08EC">
        <w:rPr>
          <w:rFonts w:ascii="Times New Roman" w:hAnsi="Times New Roman"/>
          <w:b/>
          <w:sz w:val="22"/>
        </w:rPr>
        <w:t>Institute of Food Technology</w:t>
      </w:r>
    </w:p>
    <w:p w14:paraId="3A51C25A" w14:textId="0E75255D" w:rsidR="0047783A" w:rsidRPr="00A35457" w:rsidRDefault="00A35457" w:rsidP="00AC07D4">
      <w:pPr>
        <w:pStyle w:val="BodyText"/>
        <w:spacing w:before="0"/>
        <w:ind w:left="567"/>
        <w:rPr>
          <w:rFonts w:ascii="Times New Roman" w:hAnsi="Times New Roman"/>
          <w:sz w:val="22"/>
        </w:rPr>
      </w:pPr>
      <w:r w:rsidRPr="00A35457">
        <w:rPr>
          <w:rFonts w:ascii="Times New Roman" w:hAnsi="Times New Roman"/>
          <w:b/>
          <w:sz w:val="22"/>
        </w:rPr>
        <w:t xml:space="preserve">                        </w:t>
      </w:r>
      <w:proofErr w:type="spellStart"/>
      <w:r w:rsidR="009E08EC">
        <w:rPr>
          <w:rFonts w:ascii="Times New Roman" w:hAnsi="Times New Roman"/>
          <w:b/>
          <w:sz w:val="22"/>
        </w:rPr>
        <w:t>Bulevar</w:t>
      </w:r>
      <w:proofErr w:type="spellEnd"/>
      <w:r w:rsidR="009E08EC">
        <w:rPr>
          <w:rFonts w:ascii="Times New Roman" w:hAnsi="Times New Roman"/>
          <w:b/>
          <w:sz w:val="22"/>
        </w:rPr>
        <w:t xml:space="preserve"> </w:t>
      </w:r>
      <w:proofErr w:type="spellStart"/>
      <w:proofErr w:type="gramStart"/>
      <w:r w:rsidR="009E08EC">
        <w:rPr>
          <w:rFonts w:ascii="Times New Roman" w:hAnsi="Times New Roman"/>
          <w:b/>
          <w:sz w:val="22"/>
        </w:rPr>
        <w:t>cara</w:t>
      </w:r>
      <w:proofErr w:type="spellEnd"/>
      <w:proofErr w:type="gramEnd"/>
      <w:r w:rsidR="009E08EC">
        <w:rPr>
          <w:rFonts w:ascii="Times New Roman" w:hAnsi="Times New Roman"/>
          <w:b/>
          <w:sz w:val="22"/>
        </w:rPr>
        <w:t xml:space="preserve"> </w:t>
      </w:r>
      <w:proofErr w:type="spellStart"/>
      <w:r w:rsidR="009E08EC">
        <w:rPr>
          <w:rFonts w:ascii="Times New Roman" w:hAnsi="Times New Roman"/>
          <w:b/>
          <w:sz w:val="22"/>
        </w:rPr>
        <w:t>Lazara</w:t>
      </w:r>
      <w:proofErr w:type="spellEnd"/>
      <w:r w:rsidR="009E08EC">
        <w:rPr>
          <w:rFonts w:ascii="Times New Roman" w:hAnsi="Times New Roman"/>
          <w:b/>
          <w:sz w:val="22"/>
        </w:rPr>
        <w:t xml:space="preserve"> 1, I</w:t>
      </w:r>
      <w:r w:rsidRPr="00A35457">
        <w:rPr>
          <w:rFonts w:ascii="Times New Roman" w:hAnsi="Times New Roman"/>
          <w:b/>
          <w:sz w:val="22"/>
        </w:rPr>
        <w:t xml:space="preserve"> floor, 21</w:t>
      </w:r>
      <w:r w:rsidR="009E08EC">
        <w:rPr>
          <w:rFonts w:ascii="Times New Roman" w:hAnsi="Times New Roman"/>
          <w:b/>
          <w:sz w:val="22"/>
        </w:rPr>
        <w:t>102</w:t>
      </w:r>
      <w:r w:rsidRPr="00A35457">
        <w:rPr>
          <w:rFonts w:ascii="Times New Roman" w:hAnsi="Times New Roman"/>
          <w:b/>
          <w:sz w:val="22"/>
        </w:rPr>
        <w:t xml:space="preserve"> Novi Sad</w:t>
      </w:r>
      <w:r w:rsidR="0047783A" w:rsidRPr="00A35457">
        <w:rPr>
          <w:rFonts w:ascii="Times New Roman" w:hAnsi="Times New Roman"/>
          <w:b/>
          <w:sz w:val="22"/>
        </w:rPr>
        <w:br/>
      </w:r>
      <w:r w:rsidR="0047783A" w:rsidRPr="00A35457">
        <w:rPr>
          <w:rFonts w:ascii="Times New Roman" w:hAnsi="Times New Roman"/>
          <w:sz w:val="22"/>
        </w:rPr>
        <w:t>E-mail</w:t>
      </w:r>
      <w:r>
        <w:rPr>
          <w:rFonts w:ascii="Times New Roman" w:hAnsi="Times New Roman"/>
          <w:sz w:val="22"/>
        </w:rPr>
        <w:t>:</w:t>
      </w:r>
      <w:r>
        <w:rPr>
          <w:rFonts w:ascii="Times New Roman" w:hAnsi="Times New Roman"/>
          <w:sz w:val="22"/>
        </w:rPr>
        <w:tab/>
        <w:t xml:space="preserve">         </w:t>
      </w:r>
      <w:r w:rsidR="009E08EC" w:rsidRPr="009E08EC">
        <w:rPr>
          <w:rStyle w:val="Hyperlink"/>
          <w:rFonts w:ascii="Times New Roman" w:hAnsi="Times New Roman"/>
          <w:b/>
          <w:sz w:val="22"/>
        </w:rPr>
        <w:t>ljubisa.saric@fins.uns.ac.rs</w:t>
      </w:r>
      <w:r w:rsidR="00223E29" w:rsidRPr="00223E29">
        <w:rPr>
          <w:rFonts w:ascii="Times New Roman" w:hAnsi="Times New Roman"/>
          <w:sz w:val="22"/>
        </w:rPr>
        <w:t xml:space="preserve"> or </w:t>
      </w:r>
      <w:r w:rsidR="009E08EC" w:rsidRPr="009E08EC">
        <w:rPr>
          <w:rStyle w:val="Hyperlink"/>
          <w:rFonts w:ascii="Times New Roman" w:hAnsi="Times New Roman"/>
          <w:b/>
          <w:sz w:val="22"/>
        </w:rPr>
        <w:t>aleksandra.torbica@fins.uns.ac.rs</w:t>
      </w:r>
      <w:r w:rsidR="00223E29">
        <w:rPr>
          <w:rFonts w:ascii="Times New Roman" w:hAnsi="Times New Roman"/>
          <w:sz w:val="22"/>
        </w:rPr>
        <w:t xml:space="preserve"> </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7F73C53F"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lastRenderedPageBreak/>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 xml:space="preserve">website </w:t>
      </w:r>
      <w:r w:rsidR="009E08EC" w:rsidRPr="009E08EC">
        <w:rPr>
          <w:rStyle w:val="Hyperlink"/>
          <w:rFonts w:ascii="Times New Roman" w:hAnsi="Times New Roman"/>
          <w:b/>
          <w:sz w:val="22"/>
          <w:szCs w:val="22"/>
        </w:rPr>
        <w:t>https://fins.uns.ac.rs/</w:t>
      </w:r>
      <w:proofErr w:type="gramStart"/>
      <w:r w:rsidR="009E08EC" w:rsidRPr="009E08EC">
        <w:rPr>
          <w:rStyle w:val="Hyperlink"/>
          <w:rFonts w:ascii="Times New Roman" w:hAnsi="Times New Roman"/>
          <w:b/>
          <w:sz w:val="22"/>
          <w:szCs w:val="22"/>
        </w:rPr>
        <w:t>procurements</w:t>
      </w:r>
      <w:r w:rsidR="00223E29">
        <w:rPr>
          <w:rFonts w:ascii="Times New Roman" w:hAnsi="Times New Roman"/>
          <w:sz w:val="22"/>
          <w:szCs w:val="22"/>
        </w:rPr>
        <w:t xml:space="preserve"> </w:t>
      </w:r>
      <w:r w:rsidRPr="00E82463">
        <w:rPr>
          <w:rFonts w:ascii="Times New Roman" w:hAnsi="Times New Roman"/>
          <w:sz w:val="22"/>
        </w:rPr>
        <w:t xml:space="preserve"> at</w:t>
      </w:r>
      <w:proofErr w:type="gramEnd"/>
      <w:r w:rsidRPr="00E82463">
        <w:rPr>
          <w:rFonts w:ascii="Times New Roman" w:hAnsi="Times New Roman"/>
          <w:sz w:val="22"/>
        </w:rPr>
        <w:t xml:space="preserve"> the latest 11 days before the deadline for submission of tenders.</w:t>
      </w:r>
    </w:p>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0" w:name="_Toc42488083"/>
      <w:r w:rsidRPr="00E82463">
        <w:t xml:space="preserve">Clarification meeting / site </w:t>
      </w:r>
      <w:proofErr w:type="spellStart"/>
      <w:r w:rsidRPr="00E82463">
        <w:t>visit</w:t>
      </w:r>
      <w:bookmarkEnd w:id="20"/>
      <w:proofErr w:type="spellEnd"/>
    </w:p>
    <w:p w14:paraId="228C903E" w14:textId="77BAF7A4" w:rsidR="0047783A" w:rsidRPr="009205DE" w:rsidRDefault="0047783A" w:rsidP="00AC07D4">
      <w:pPr>
        <w:pStyle w:val="BodyText"/>
        <w:ind w:left="567" w:hanging="567"/>
        <w:rPr>
          <w:rFonts w:ascii="Times New Roman" w:hAnsi="Times New Roman"/>
          <w:sz w:val="22"/>
          <w:szCs w:val="22"/>
        </w:rPr>
      </w:pPr>
      <w:r w:rsidRPr="009205DE">
        <w:rPr>
          <w:rFonts w:ascii="Times New Roman" w:hAnsi="Times New Roman"/>
          <w:sz w:val="22"/>
          <w:szCs w:val="22"/>
        </w:rPr>
        <w:t>14.1</w:t>
      </w:r>
      <w:r w:rsidRPr="009205DE">
        <w:rPr>
          <w:rFonts w:ascii="Times New Roman" w:hAnsi="Times New Roman"/>
          <w:sz w:val="22"/>
          <w:szCs w:val="22"/>
        </w:rPr>
        <w:tab/>
        <w:t>No clarification meeting / site visit planned. Visits by individual prospective tenderers during the tend</w:t>
      </w:r>
      <w:r w:rsidR="009205DE" w:rsidRPr="009205DE">
        <w:rPr>
          <w:rFonts w:ascii="Times New Roman" w:hAnsi="Times New Roman"/>
          <w:sz w:val="22"/>
          <w:szCs w:val="22"/>
        </w:rPr>
        <w:t>er period cannot be organised.</w:t>
      </w:r>
    </w:p>
    <w:p w14:paraId="389E21A4" w14:textId="77777777" w:rsidR="0047783A" w:rsidRPr="00E700D5" w:rsidRDefault="0047783A" w:rsidP="00E700D5">
      <w:pPr>
        <w:pStyle w:val="Heading1"/>
        <w:rPr>
          <w:lang w:val="en-GB"/>
        </w:rPr>
      </w:pPr>
      <w:bookmarkStart w:id="21" w:name="_Toc42488084"/>
      <w:r w:rsidRPr="00E700D5">
        <w:rPr>
          <w:lang w:val="en-GB"/>
        </w:rPr>
        <w:t>Alteration or withdrawal of tenders</w:t>
      </w:r>
      <w:bookmarkEnd w:id="21"/>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2" w:name="_Toc42488085"/>
      <w:r w:rsidRPr="00E700D5">
        <w:rPr>
          <w:lang w:val="en-GB"/>
        </w:rPr>
        <w:t>Costs of preparing tenders</w:t>
      </w:r>
      <w:bookmarkEnd w:id="22"/>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3" w:name="_Toc42488086"/>
      <w:r w:rsidRPr="00E700D5">
        <w:rPr>
          <w:lang w:val="en-GB"/>
        </w:rPr>
        <w:t>Ownership of tenders</w:t>
      </w:r>
      <w:bookmarkEnd w:id="23"/>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4" w:name="_Toc42488087"/>
      <w:proofErr w:type="spellStart"/>
      <w:r w:rsidRPr="00E82463">
        <w:t>Joint venture</w:t>
      </w:r>
      <w:proofErr w:type="spellEnd"/>
      <w:r w:rsidRPr="00E82463">
        <w:t xml:space="preserve"> or consortium</w:t>
      </w:r>
      <w:bookmarkEnd w:id="24"/>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5" w:name="_Toc42488088"/>
      <w:proofErr w:type="spellStart"/>
      <w:r w:rsidRPr="00E82463">
        <w:lastRenderedPageBreak/>
        <w:t>Opening</w:t>
      </w:r>
      <w:proofErr w:type="spellEnd"/>
      <w:r w:rsidRPr="00E82463">
        <w:t xml:space="preserve"> of tenders</w:t>
      </w:r>
      <w:bookmarkEnd w:id="25"/>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508973A4"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7A626C">
        <w:rPr>
          <w:rFonts w:ascii="Times New Roman" w:hAnsi="Times New Roman"/>
          <w:b/>
          <w:sz w:val="22"/>
          <w:lang w:val="en-GB"/>
        </w:rPr>
        <w:t>April</w:t>
      </w:r>
      <w:r w:rsidR="009205DE" w:rsidRPr="009205DE">
        <w:rPr>
          <w:rFonts w:ascii="Times New Roman" w:hAnsi="Times New Roman"/>
          <w:b/>
          <w:sz w:val="22"/>
          <w:lang w:val="en-GB"/>
        </w:rPr>
        <w:t xml:space="preserve"> </w:t>
      </w:r>
      <w:r w:rsidR="009E08EC">
        <w:rPr>
          <w:rFonts w:ascii="Times New Roman" w:hAnsi="Times New Roman"/>
          <w:b/>
          <w:sz w:val="22"/>
          <w:lang w:val="en-GB"/>
        </w:rPr>
        <w:t>2</w:t>
      </w:r>
      <w:r w:rsidR="007A626C">
        <w:rPr>
          <w:rFonts w:ascii="Times New Roman" w:hAnsi="Times New Roman"/>
          <w:b/>
          <w:sz w:val="22"/>
          <w:lang w:val="en-GB"/>
        </w:rPr>
        <w:t>1</w:t>
      </w:r>
      <w:r w:rsidR="007A626C">
        <w:rPr>
          <w:rFonts w:ascii="Times New Roman" w:hAnsi="Times New Roman"/>
          <w:b/>
          <w:sz w:val="22"/>
          <w:vertAlign w:val="superscript"/>
          <w:lang w:val="en-GB"/>
        </w:rPr>
        <w:t>st</w:t>
      </w:r>
      <w:r w:rsidR="009205DE">
        <w:rPr>
          <w:rFonts w:ascii="Times New Roman" w:hAnsi="Times New Roman"/>
          <w:b/>
          <w:sz w:val="22"/>
          <w:lang w:val="en-GB"/>
        </w:rPr>
        <w:t xml:space="preserve"> </w:t>
      </w:r>
      <w:r w:rsidR="009E08EC">
        <w:rPr>
          <w:rFonts w:ascii="Times New Roman" w:hAnsi="Times New Roman"/>
          <w:b/>
          <w:sz w:val="22"/>
          <w:lang w:val="en-GB"/>
        </w:rPr>
        <w:t>2025</w:t>
      </w:r>
      <w:r w:rsidR="009205DE" w:rsidRPr="009205DE">
        <w:rPr>
          <w:rFonts w:ascii="Times New Roman" w:hAnsi="Times New Roman"/>
          <w:b/>
          <w:sz w:val="22"/>
          <w:lang w:val="en-GB"/>
        </w:rPr>
        <w:t xml:space="preserve"> at 14:00 local time</w:t>
      </w:r>
      <w:r w:rsidRPr="00E82463">
        <w:rPr>
          <w:rFonts w:ascii="Times New Roman" w:hAnsi="Times New Roman"/>
          <w:sz w:val="22"/>
          <w:lang w:val="en-GB"/>
        </w:rPr>
        <w:t xml:space="preserve"> at </w:t>
      </w:r>
      <w:r w:rsidR="009205DE">
        <w:rPr>
          <w:rFonts w:ascii="Times New Roman" w:hAnsi="Times New Roman"/>
          <w:b/>
          <w:sz w:val="22"/>
          <w:lang w:val="en-GB"/>
        </w:rPr>
        <w:t xml:space="preserve">University of Novi Sad </w:t>
      </w:r>
      <w:r w:rsidR="009E08EC">
        <w:rPr>
          <w:rFonts w:ascii="Times New Roman" w:hAnsi="Times New Roman"/>
          <w:b/>
          <w:sz w:val="22"/>
          <w:lang w:val="en-GB"/>
        </w:rPr>
        <w:t xml:space="preserve">Institute of Food </w:t>
      </w:r>
      <w:proofErr w:type="spellStart"/>
      <w:r w:rsidR="009E08EC">
        <w:rPr>
          <w:rFonts w:ascii="Times New Roman" w:hAnsi="Times New Roman"/>
          <w:b/>
          <w:sz w:val="22"/>
          <w:lang w:val="en-GB"/>
        </w:rPr>
        <w:t>Techology</w:t>
      </w:r>
      <w:proofErr w:type="spellEnd"/>
      <w:r w:rsidR="009205DE">
        <w:rPr>
          <w:rFonts w:ascii="Times New Roman" w:hAnsi="Times New Roman"/>
          <w:b/>
          <w:sz w:val="22"/>
          <w:lang w:val="en-GB"/>
        </w:rPr>
        <w:t xml:space="preserve">, </w:t>
      </w:r>
      <w:proofErr w:type="spellStart"/>
      <w:r w:rsidR="009E08EC">
        <w:rPr>
          <w:rFonts w:ascii="Times New Roman" w:hAnsi="Times New Roman"/>
          <w:b/>
          <w:sz w:val="22"/>
          <w:lang w:val="en-GB"/>
        </w:rPr>
        <w:t>Bulevar</w:t>
      </w:r>
      <w:proofErr w:type="spellEnd"/>
      <w:r w:rsidR="009E08EC">
        <w:rPr>
          <w:rFonts w:ascii="Times New Roman" w:hAnsi="Times New Roman"/>
          <w:b/>
          <w:sz w:val="22"/>
          <w:lang w:val="en-GB"/>
        </w:rPr>
        <w:t xml:space="preserve"> </w:t>
      </w:r>
      <w:proofErr w:type="spellStart"/>
      <w:proofErr w:type="gramStart"/>
      <w:r w:rsidR="009E08EC">
        <w:rPr>
          <w:rFonts w:ascii="Times New Roman" w:hAnsi="Times New Roman"/>
          <w:b/>
          <w:sz w:val="22"/>
          <w:lang w:val="en-GB"/>
        </w:rPr>
        <w:t>cara</w:t>
      </w:r>
      <w:proofErr w:type="spellEnd"/>
      <w:proofErr w:type="gramEnd"/>
      <w:r w:rsidR="009E08EC">
        <w:rPr>
          <w:rFonts w:ascii="Times New Roman" w:hAnsi="Times New Roman"/>
          <w:b/>
          <w:sz w:val="22"/>
          <w:lang w:val="en-GB"/>
        </w:rPr>
        <w:t xml:space="preserve"> </w:t>
      </w:r>
      <w:proofErr w:type="spellStart"/>
      <w:r w:rsidR="009E08EC">
        <w:rPr>
          <w:rFonts w:ascii="Times New Roman" w:hAnsi="Times New Roman"/>
          <w:b/>
          <w:sz w:val="22"/>
          <w:lang w:val="en-GB"/>
        </w:rPr>
        <w:t>Lazara</w:t>
      </w:r>
      <w:proofErr w:type="spellEnd"/>
      <w:r w:rsidR="009E08EC">
        <w:rPr>
          <w:rFonts w:ascii="Times New Roman" w:hAnsi="Times New Roman"/>
          <w:b/>
          <w:sz w:val="22"/>
          <w:lang w:val="en-GB"/>
        </w:rPr>
        <w:t xml:space="preserve"> 1, 21000 Novi Sad, I</w:t>
      </w:r>
      <w:r w:rsidR="009205DE">
        <w:rPr>
          <w:rFonts w:ascii="Times New Roman" w:hAnsi="Times New Roman"/>
          <w:b/>
          <w:sz w:val="22"/>
          <w:lang w:val="en-GB"/>
        </w:rPr>
        <w:t xml:space="preserve"> floor</w:t>
      </w:r>
      <w:r w:rsidRPr="00E82463">
        <w:rPr>
          <w:rFonts w:ascii="Times New Roman" w:hAnsi="Times New Roman"/>
          <w:sz w:val="22"/>
          <w:lang w:val="en-GB"/>
        </w:rPr>
        <w:t xml:space="preserve"> 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5D811AB9" w14:textId="4E7BE8EE" w:rsidR="00F3658D" w:rsidRPr="008B6A30" w:rsidRDefault="0047783A" w:rsidP="009205DE">
      <w:pPr>
        <w:pStyle w:val="Heading1"/>
      </w:pPr>
      <w:bookmarkStart w:id="26" w:name="_Toc42488089"/>
      <w:r w:rsidRPr="00E82463">
        <w:t>Evaluation of tenders</w:t>
      </w:r>
      <w:bookmarkEnd w:id="26"/>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8" w:name="_Toc41467299"/>
      <w:bookmarkStart w:id="29" w:name="_Toc42488091"/>
      <w:r w:rsidRPr="00C12527">
        <w:lastRenderedPageBreak/>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3B1FE0C" w14:textId="2F475D13" w:rsidR="00C12527" w:rsidRPr="00C12527" w:rsidRDefault="00C12527" w:rsidP="00C12527">
      <w:pPr>
        <w:ind w:left="567"/>
        <w:jc w:val="both"/>
        <w:rPr>
          <w:rFonts w:ascii="Times New Roman" w:hAnsi="Times New Roman"/>
          <w:color w:val="000000"/>
          <w:sz w:val="22"/>
          <w:szCs w:val="22"/>
        </w:rPr>
      </w:pPr>
      <w:r w:rsidRPr="009205DE">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9205DE">
        <w:rPr>
          <w:rFonts w:ascii="Times New Roman" w:hAnsi="Times New Roman"/>
          <w:sz w:val="22"/>
          <w:szCs w:val="22"/>
        </w:rPr>
        <w:t xml:space="preserve"> further Section 2.6.11. of the </w:t>
      </w:r>
      <w:r w:rsidR="009D37EF" w:rsidRPr="009205DE">
        <w:rPr>
          <w:rFonts w:ascii="Times New Roman" w:hAnsi="Times New Roman"/>
          <w:sz w:val="22"/>
          <w:szCs w:val="22"/>
        </w:rPr>
        <w:t>P</w:t>
      </w:r>
      <w:r w:rsidRPr="009205DE">
        <w:rPr>
          <w:rFonts w:ascii="Times New Roman" w:hAnsi="Times New Roman"/>
          <w:sz w:val="22"/>
          <w:szCs w:val="22"/>
        </w:rPr>
        <w:t xml:space="preserve">ractical </w:t>
      </w:r>
      <w:r w:rsidR="009D37EF" w:rsidRPr="009205DE">
        <w:rPr>
          <w:rFonts w:ascii="Times New Roman" w:hAnsi="Times New Roman"/>
          <w:sz w:val="22"/>
          <w:szCs w:val="22"/>
        </w:rPr>
        <w:t>G</w:t>
      </w:r>
      <w:r w:rsidRPr="009205DE">
        <w:rPr>
          <w:rFonts w:ascii="Times New Roman" w:hAnsi="Times New Roman"/>
          <w:sz w:val="22"/>
          <w:szCs w:val="22"/>
        </w:rPr>
        <w:t>uide).</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 xml:space="preserve">By submitting a tender, each tenderer accepts to receive notification of the outcome of the procedure by electronic means. Such notification shall be deemed to have been received on </w:t>
      </w:r>
      <w:r w:rsidRPr="00C12527">
        <w:rPr>
          <w:rFonts w:ascii="Times New Roman" w:hAnsi="Times New Roman"/>
          <w:sz w:val="22"/>
        </w:rPr>
        <w:lastRenderedPageBreak/>
        <w:t>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66741AFD"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9205DE">
        <w:rPr>
          <w:rFonts w:ascii="Times New Roman" w:hAnsi="Times New Roman"/>
          <w:sz w:val="22"/>
        </w:rPr>
        <w:t>For contracts of EUR 150 000 or below, on the basis of objective criteria such as the type and value of the contract, the contracting authority may decide not to require such a guarantee.</w:t>
      </w:r>
    </w:p>
    <w:p w14:paraId="7083101F" w14:textId="30B5D980" w:rsidR="004F1B0B" w:rsidRPr="00A35457" w:rsidRDefault="0047783A" w:rsidP="00A35457">
      <w:pPr>
        <w:pStyle w:val="Heading1"/>
        <w:rPr>
          <w:lang w:val="en-GB"/>
        </w:rPr>
      </w:pPr>
      <w:r w:rsidRPr="009D37EF">
        <w:rPr>
          <w:lang w:val="en-GB"/>
        </w:rPr>
        <w:t>Tender guarantee</w:t>
      </w:r>
      <w:bookmarkEnd w:id="28"/>
      <w:bookmarkEnd w:id="29"/>
    </w:p>
    <w:p w14:paraId="14FD132D" w14:textId="4D5FFE3E" w:rsidR="008718AA" w:rsidRPr="00E82463" w:rsidRDefault="00D1398A" w:rsidP="000D66C0">
      <w:pPr>
        <w:ind w:left="567"/>
        <w:jc w:val="both"/>
        <w:outlineLvl w:val="0"/>
        <w:rPr>
          <w:rFonts w:ascii="Times New Roman" w:hAnsi="Times New Roman"/>
          <w:sz w:val="22"/>
        </w:rPr>
      </w:pPr>
      <w:r w:rsidRPr="009205DE">
        <w:rPr>
          <w:rFonts w:ascii="Times New Roman" w:hAnsi="Times New Roman"/>
          <w:sz w:val="22"/>
          <w:szCs w:val="22"/>
        </w:rPr>
        <w:t>No tender guarantee is required</w:t>
      </w:r>
      <w:r w:rsidRPr="009205DE">
        <w:rPr>
          <w:rFonts w:ascii="Times New Roman" w:hAnsi="Times New Roman"/>
        </w:rPr>
        <w:t>.</w:t>
      </w:r>
    </w:p>
    <w:p w14:paraId="4BD55AC5" w14:textId="77777777" w:rsidR="0047783A" w:rsidRPr="00E82463" w:rsidRDefault="0047783A" w:rsidP="00E700D5">
      <w:pPr>
        <w:pStyle w:val="Heading1"/>
      </w:pPr>
      <w:bookmarkStart w:id="30" w:name="_Toc41467300"/>
      <w:bookmarkStart w:id="31" w:name="_Toc42488092"/>
      <w:proofErr w:type="spellStart"/>
      <w:r w:rsidRPr="00E82463">
        <w:t>Ethics</w:t>
      </w:r>
      <w:proofErr w:type="spellEnd"/>
      <w:r w:rsidRPr="00E82463">
        <w:t xml:space="preserve"> clauses</w:t>
      </w:r>
      <w:bookmarkEnd w:id="30"/>
      <w:bookmarkEnd w:id="31"/>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2" w:name="_Toc42488093"/>
      <w:r w:rsidRPr="009D37EF">
        <w:rPr>
          <w:lang w:val="en-GB"/>
        </w:rPr>
        <w:lastRenderedPageBreak/>
        <w:t>Cancellation of the tender procedure</w:t>
      </w:r>
      <w:bookmarkEnd w:id="32"/>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4B60C0E4" w14:textId="349CCB02" w:rsidR="00130EF1" w:rsidRPr="00E82463" w:rsidRDefault="0047783A" w:rsidP="00A35457">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bookmarkStart w:id="33" w:name="_GoBack"/>
      <w:bookmarkEnd w:id="33"/>
    </w:p>
    <w:sectPr w:rsidR="00130EF1" w:rsidRPr="00E82463" w:rsidSect="000D0118">
      <w:headerReference w:type="default" r:id="rId9"/>
      <w:footerReference w:type="even" r:id="rId10"/>
      <w:footerReference w:type="first" r:id="rId11"/>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263E4" w14:textId="77777777" w:rsidR="006C5BB8" w:rsidRPr="006A5F84" w:rsidRDefault="006C5BB8">
      <w:r w:rsidRPr="006A5F84">
        <w:separator/>
      </w:r>
    </w:p>
  </w:endnote>
  <w:endnote w:type="continuationSeparator" w:id="0">
    <w:p w14:paraId="1373AB24" w14:textId="77777777" w:rsidR="006C5BB8" w:rsidRPr="006A5F84" w:rsidRDefault="006C5BB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797B8" w14:textId="77777777" w:rsidR="00223E29" w:rsidRDefault="00223E29"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223E29" w:rsidRDefault="00223E29"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6F5B" w14:textId="77777777" w:rsidR="00223E29" w:rsidRPr="006A5F84" w:rsidRDefault="00223E29"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223E29" w:rsidRPr="006A5F84" w:rsidRDefault="00223E29"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44AEF" w14:textId="77777777" w:rsidR="006C5BB8" w:rsidRPr="006A5F84" w:rsidRDefault="006C5BB8">
      <w:r w:rsidRPr="006A5F84">
        <w:separator/>
      </w:r>
    </w:p>
  </w:footnote>
  <w:footnote w:type="continuationSeparator" w:id="0">
    <w:p w14:paraId="18A13512" w14:textId="77777777" w:rsidR="006C5BB8" w:rsidRPr="006A5F84" w:rsidRDefault="006C5BB8">
      <w:r w:rsidRPr="006A5F84">
        <w:continuationSeparator/>
      </w:r>
    </w:p>
  </w:footnote>
  <w:footnote w:id="1">
    <w:p w14:paraId="22A66A6F" w14:textId="0145357B" w:rsidR="00223E29" w:rsidRPr="006A5F84" w:rsidRDefault="00223E29"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t>[&lt;</w:t>
      </w:r>
      <w:r w:rsidRPr="00876C9E">
        <w:rPr>
          <w:rFonts w:ascii="Times New Roman" w:hAnsi="Times New Roman"/>
          <w:highlight w:val="yellow"/>
          <w:lang w:val="en-GB"/>
        </w:rPr>
        <w:t>DDP (Delivered Duty Paid)</w:t>
      </w:r>
      <w:r>
        <w:rPr>
          <w:rFonts w:ascii="Times New Roman" w:hAnsi="Times New Roman"/>
          <w:highlight w:val="yellow"/>
          <w:lang w:val="en-GB"/>
        </w:rPr>
        <w:t>&gt;] [&lt;</w:t>
      </w:r>
      <w:r w:rsidRPr="00876C9E">
        <w:rPr>
          <w:rFonts w:ascii="Times New Roman" w:hAnsi="Times New Roman"/>
          <w:highlight w:val="yellow"/>
          <w:lang w:val="en-GB"/>
        </w:rPr>
        <w:t>DAP (Delivered At Place)</w:t>
      </w:r>
      <w:r>
        <w:rPr>
          <w:rFonts w:ascii="Times New Roman" w:hAnsi="Times New Roman"/>
          <w:lang w:val="en-GB"/>
        </w:rPr>
        <w:t>&gt;]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Pr>
          <w:rFonts w:ascii="Times New Roman" w:hAnsi="Times New Roman"/>
          <w:lang w:val="en-GB"/>
        </w:rPr>
        <w:t>2</w:t>
      </w:r>
      <w:r w:rsidRPr="006A5F84">
        <w:rPr>
          <w:rFonts w:ascii="Times New Roman" w:hAnsi="Times New Roman"/>
          <w:lang w:val="en-GB"/>
        </w:rPr>
        <w:t xml:space="preserve">0 International Chamber of Commerce </w:t>
      </w:r>
      <w:hyperlink r:id="rId1" w:history="1">
        <w:r w:rsidRPr="002D7683">
          <w:rPr>
            <w:rStyle w:val="Hyperlink"/>
          </w:rPr>
          <w:t>https://iccwbo.org/business-solutions/incoterms-rules/incoterms-2020/</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CD76" w14:textId="00E6ABEE" w:rsidR="00223E29" w:rsidRPr="00A63616" w:rsidRDefault="00223E29"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223E29" w:rsidRDefault="00223E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pt;height:11.7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3E29"/>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6BD6"/>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C5BB8"/>
    <w:rsid w:val="006D2535"/>
    <w:rsid w:val="006D3BA1"/>
    <w:rsid w:val="006D4CEC"/>
    <w:rsid w:val="006E56FD"/>
    <w:rsid w:val="006E6880"/>
    <w:rsid w:val="006E6ECA"/>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A626C"/>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904D27"/>
    <w:rsid w:val="0090627F"/>
    <w:rsid w:val="009143FD"/>
    <w:rsid w:val="009205DE"/>
    <w:rsid w:val="00920A51"/>
    <w:rsid w:val="00922542"/>
    <w:rsid w:val="009251E3"/>
    <w:rsid w:val="0093582A"/>
    <w:rsid w:val="009423FB"/>
    <w:rsid w:val="0094670B"/>
    <w:rsid w:val="00947FC3"/>
    <w:rsid w:val="00950813"/>
    <w:rsid w:val="009514EC"/>
    <w:rsid w:val="0096297D"/>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08EC"/>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35457"/>
    <w:rsid w:val="00A4194A"/>
    <w:rsid w:val="00A42161"/>
    <w:rsid w:val="00A4424B"/>
    <w:rsid w:val="00A512A5"/>
    <w:rsid w:val="00A512C9"/>
    <w:rsid w:val="00A5368C"/>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3BDD"/>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6C92"/>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67CE1"/>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EEBF6-F20D-4E59-A8BB-3107FCA06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13</Pages>
  <Words>4737</Words>
  <Characters>27004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31678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13</cp:revision>
  <cp:lastPrinted>2015-12-04T10:44:00Z</cp:lastPrinted>
  <dcterms:created xsi:type="dcterms:W3CDTF">2019-04-14T15:25:00Z</dcterms:created>
  <dcterms:modified xsi:type="dcterms:W3CDTF">2025-03-21T08:48:00Z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